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1312B"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bookmarkStart w:id="0" w:name="_GoBack"/>
      <w:bookmarkEnd w:id="0"/>
    </w:p>
    <w:p w14:paraId="21C8158A" w14:textId="77777777" w:rsidR="00AB7DE3" w:rsidRPr="00781BC7" w:rsidRDefault="00D63A2D" w:rsidP="00AB7DE3">
      <w:pPr>
        <w:rPr>
          <w:szCs w:val="24"/>
        </w:rPr>
      </w:pPr>
      <w:r>
        <w:rPr>
          <w:b/>
        </w:rPr>
        <w:t>TO:</w:t>
      </w:r>
      <w:r>
        <w:rPr>
          <w:b/>
        </w:rPr>
        <w:tab/>
      </w:r>
      <w:r>
        <w:rPr>
          <w:b/>
        </w:rPr>
        <w:tab/>
      </w:r>
      <w:r w:rsidR="00AB7DE3">
        <w:rPr>
          <w:szCs w:val="24"/>
        </w:rPr>
        <w:t>Taylor Denison</w:t>
      </w:r>
      <w:r w:rsidR="00AB7DE3" w:rsidRPr="00781BC7">
        <w:rPr>
          <w:szCs w:val="24"/>
        </w:rPr>
        <w:t>, Attorney</w:t>
      </w:r>
    </w:p>
    <w:p w14:paraId="13EF1D96" w14:textId="77777777" w:rsidR="00AB7DE3" w:rsidRPr="00781BC7" w:rsidRDefault="00AB7DE3" w:rsidP="00AB7DE3">
      <w:pPr>
        <w:ind w:left="720" w:firstLine="720"/>
        <w:rPr>
          <w:szCs w:val="24"/>
        </w:rPr>
      </w:pPr>
      <w:r w:rsidRPr="00781BC7">
        <w:rPr>
          <w:szCs w:val="24"/>
        </w:rPr>
        <w:t>Legal Division</w:t>
      </w:r>
    </w:p>
    <w:p w14:paraId="574EBDC9" w14:textId="77777777" w:rsidR="00AB7DE3" w:rsidRDefault="00AB7DE3" w:rsidP="00AB7DE3"/>
    <w:p w14:paraId="02D3AE00" w14:textId="77777777" w:rsidR="00AB7DE3" w:rsidRPr="00EA0B92" w:rsidRDefault="00D63A2D" w:rsidP="00AB7DE3">
      <w:r>
        <w:rPr>
          <w:b/>
        </w:rPr>
        <w:t>FROM:</w:t>
      </w:r>
      <w:r>
        <w:rPr>
          <w:b/>
        </w:rPr>
        <w:tab/>
      </w:r>
      <w:r w:rsidR="00AB7DE3">
        <w:t>Patricia Garcia, Senior Engineering Specialist</w:t>
      </w:r>
    </w:p>
    <w:p w14:paraId="0DC6F1A5" w14:textId="77777777" w:rsidR="00AB7DE3" w:rsidRPr="00F7290A" w:rsidRDefault="00AB7DE3" w:rsidP="00AB7DE3">
      <w:pPr>
        <w:ind w:left="720" w:firstLine="720"/>
      </w:pPr>
      <w:r>
        <w:t>Infrastructure</w:t>
      </w:r>
      <w:r w:rsidRPr="00F82F6E">
        <w:t xml:space="preserve"> </w:t>
      </w:r>
      <w:r>
        <w:t>Division</w:t>
      </w:r>
    </w:p>
    <w:p w14:paraId="243110E6" w14:textId="77777777" w:rsidR="00D63A2D" w:rsidRDefault="00D63A2D" w:rsidP="00AB7DE3"/>
    <w:p w14:paraId="13F5B962" w14:textId="4B04F184" w:rsidR="00D63A2D" w:rsidRDefault="00D63A2D" w:rsidP="00836CDB">
      <w:pPr>
        <w:tabs>
          <w:tab w:val="left" w:pos="1170"/>
        </w:tabs>
      </w:pPr>
      <w:r>
        <w:rPr>
          <w:b/>
        </w:rPr>
        <w:t>DATE:</w:t>
      </w:r>
      <w:r>
        <w:rPr>
          <w:b/>
        </w:rPr>
        <w:tab/>
      </w:r>
      <w:r>
        <w:rPr>
          <w:b/>
        </w:rPr>
        <w:tab/>
      </w:r>
      <w:r w:rsidR="00C81305">
        <w:rPr>
          <w:bCs/>
        </w:rPr>
        <w:t xml:space="preserve">January </w:t>
      </w:r>
      <w:r w:rsidR="00836CDB">
        <w:rPr>
          <w:bCs/>
        </w:rPr>
        <w:t>11</w:t>
      </w:r>
      <w:r w:rsidR="00C81305">
        <w:rPr>
          <w:bCs/>
        </w:rPr>
        <w:t>, 2021</w:t>
      </w:r>
    </w:p>
    <w:p w14:paraId="4555E4D3" w14:textId="77777777" w:rsidR="00836CDB" w:rsidRDefault="00836CDB" w:rsidP="00836CDB">
      <w:pPr>
        <w:tabs>
          <w:tab w:val="left" w:pos="1170"/>
        </w:tabs>
      </w:pPr>
    </w:p>
    <w:p w14:paraId="54D5B0F4" w14:textId="2CF5E52D" w:rsidR="00D63A2D" w:rsidRPr="00836CDB" w:rsidRDefault="00D63A2D" w:rsidP="00836CDB">
      <w:pPr>
        <w:ind w:left="1440" w:hanging="1440"/>
        <w:jc w:val="left"/>
        <w:rPr>
          <w:i/>
        </w:rPr>
      </w:pPr>
      <w:r>
        <w:rPr>
          <w:b/>
        </w:rPr>
        <w:t>RE:</w:t>
      </w:r>
      <w:r>
        <w:rPr>
          <w:b/>
        </w:rPr>
        <w:tab/>
      </w:r>
      <w:r>
        <w:rPr>
          <w:bCs/>
        </w:rPr>
        <w:t xml:space="preserve">Docket No. </w:t>
      </w:r>
      <w:r w:rsidR="00AB7DE3" w:rsidRPr="00AB7DE3">
        <w:rPr>
          <w:bCs/>
        </w:rPr>
        <w:t>51481</w:t>
      </w:r>
      <w:r w:rsidRPr="00AB7DE3">
        <w:t xml:space="preserve"> – </w:t>
      </w:r>
      <w:r w:rsidRPr="00AB7DE3">
        <w:rPr>
          <w:i/>
          <w:szCs w:val="24"/>
          <w:lang w:val="en-CA"/>
        </w:rPr>
        <w:t xml:space="preserve">Application </w:t>
      </w:r>
      <w:r w:rsidR="00836CDB">
        <w:rPr>
          <w:i/>
          <w:szCs w:val="24"/>
        </w:rPr>
        <w:t xml:space="preserve">of </w:t>
      </w:r>
      <w:r w:rsidR="00AB7DE3" w:rsidRPr="00AB7DE3">
        <w:rPr>
          <w:i/>
          <w:szCs w:val="24"/>
          <w:lang w:val="en-CA"/>
        </w:rPr>
        <w:t>CSWR-Texas Utility Operating Company, LLC</w:t>
      </w:r>
      <w:r w:rsidR="00AB7DE3" w:rsidRPr="00AB7DE3">
        <w:rPr>
          <w:i/>
        </w:rPr>
        <w:t xml:space="preserve"> </w:t>
      </w:r>
      <w:r w:rsidR="00836CDB" w:rsidRPr="00836CDB">
        <w:rPr>
          <w:i/>
        </w:rPr>
        <w:t>for Temporary Rates</w:t>
      </w:r>
      <w:r w:rsidR="00836CDB">
        <w:rPr>
          <w:i/>
        </w:rPr>
        <w:t xml:space="preserve"> </w:t>
      </w:r>
      <w:r w:rsidR="00AB7DE3" w:rsidRPr="00AB7DE3">
        <w:rPr>
          <w:i/>
        </w:rPr>
        <w:t xml:space="preserve">for a Nonfunctioning Utility </w:t>
      </w:r>
      <w:r w:rsidRPr="00AB7DE3">
        <w:rPr>
          <w:szCs w:val="24"/>
        </w:rPr>
        <w:t xml:space="preserve"> </w:t>
      </w:r>
    </w:p>
    <w:p w14:paraId="24F25E01"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48CB06D" wp14:editId="2458E61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9B59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10D0C48" w14:textId="77777777" w:rsidR="00D63A2D" w:rsidRDefault="00D63A2D" w:rsidP="00D63A2D">
      <w:pPr>
        <w:tabs>
          <w:tab w:val="left" w:pos="0"/>
        </w:tabs>
        <w:spacing w:before="240" w:after="240"/>
        <w:rPr>
          <w:b/>
          <w:szCs w:val="24"/>
          <w:u w:val="single"/>
        </w:rPr>
      </w:pPr>
      <w:r>
        <w:rPr>
          <w:b/>
          <w:szCs w:val="24"/>
          <w:u w:val="single"/>
        </w:rPr>
        <w:t>Background:</w:t>
      </w:r>
    </w:p>
    <w:p w14:paraId="4C2283B9" w14:textId="702554AD" w:rsidR="000000D1" w:rsidRPr="007D55D1" w:rsidRDefault="00AB7DE3" w:rsidP="000000D1">
      <w:pPr>
        <w:tabs>
          <w:tab w:val="left" w:pos="0"/>
        </w:tabs>
        <w:spacing w:after="240"/>
        <w:rPr>
          <w:szCs w:val="24"/>
        </w:rPr>
      </w:pPr>
      <w:r>
        <w:rPr>
          <w:iCs/>
          <w:szCs w:val="24"/>
          <w:lang w:val="en-CA"/>
        </w:rPr>
        <w:t>CSWR-Texas Utility Operating Company, LLC (CSWR-Texas)</w:t>
      </w:r>
      <w:r>
        <w:t xml:space="preserve">, temporary manager for </w:t>
      </w:r>
      <w:r w:rsidRPr="007D55D1">
        <w:rPr>
          <w:szCs w:val="24"/>
        </w:rPr>
        <w:t>Castlecomb</w:t>
      </w:r>
      <w:r>
        <w:rPr>
          <w:szCs w:val="24"/>
        </w:rPr>
        <w:t xml:space="preserve"> </w:t>
      </w:r>
      <w:r w:rsidR="00A132A9">
        <w:rPr>
          <w:szCs w:val="24"/>
        </w:rPr>
        <w:t>Water System</w:t>
      </w:r>
      <w:r w:rsidR="00A132A9" w:rsidRPr="00794B83">
        <w:rPr>
          <w:szCs w:val="24"/>
        </w:rPr>
        <w:t xml:space="preserve"> </w:t>
      </w:r>
      <w:r>
        <w:rPr>
          <w:szCs w:val="24"/>
        </w:rPr>
        <w:t>(Castlecomb)</w:t>
      </w:r>
      <w:r>
        <w:t>, submitted to</w:t>
      </w:r>
      <w:r>
        <w:rPr>
          <w:szCs w:val="24"/>
        </w:rPr>
        <w:t xml:space="preserve"> the Public Utility Commission (Commission) an application for a temporary rate increase related to </w:t>
      </w:r>
      <w:r w:rsidR="000000D1">
        <w:t>an unregistered utility</w:t>
      </w:r>
      <w:r>
        <w:rPr>
          <w:szCs w:val="24"/>
        </w:rPr>
        <w:t xml:space="preserve"> in </w:t>
      </w:r>
      <w:r w:rsidR="000000D1">
        <w:t>Kerr</w:t>
      </w:r>
      <w:r>
        <w:t xml:space="preserve"> </w:t>
      </w:r>
      <w:r>
        <w:rPr>
          <w:szCs w:val="24"/>
        </w:rPr>
        <w:t>County, Texas</w:t>
      </w:r>
      <w:r>
        <w:t xml:space="preserve"> </w:t>
      </w:r>
      <w:r>
        <w:rPr>
          <w:szCs w:val="24"/>
        </w:rPr>
        <w:t>under Texas Water Code § 13.046 and 16 Texas Administrative Code (TAC) § 24.363.</w:t>
      </w:r>
      <w:r>
        <w:t xml:space="preserve"> </w:t>
      </w:r>
      <w:r w:rsidR="000000D1">
        <w:rPr>
          <w:szCs w:val="24"/>
        </w:rPr>
        <w:t xml:space="preserve">Castlecomb provides water and sewer service (through an on-site sewage facility) to the customers in the Castlecomb and Kensington subdivisions. </w:t>
      </w:r>
      <w:r w:rsidR="000000D1" w:rsidRPr="007D55D1">
        <w:rPr>
          <w:szCs w:val="24"/>
        </w:rPr>
        <w:t xml:space="preserve">Castlecomb does not have a </w:t>
      </w:r>
      <w:r w:rsidR="000000D1" w:rsidRPr="007D55D1">
        <w:t xml:space="preserve">water </w:t>
      </w:r>
      <w:r w:rsidR="000000D1">
        <w:t>c</w:t>
      </w:r>
      <w:r w:rsidR="000000D1" w:rsidRPr="007D55D1">
        <w:t xml:space="preserve">ertificate of </w:t>
      </w:r>
      <w:r w:rsidR="000000D1">
        <w:t>c</w:t>
      </w:r>
      <w:r w:rsidR="000000D1" w:rsidRPr="007D55D1">
        <w:t xml:space="preserve">onvenience and </w:t>
      </w:r>
      <w:r w:rsidR="000000D1">
        <w:t>n</w:t>
      </w:r>
      <w:r w:rsidR="000000D1" w:rsidRPr="007D55D1">
        <w:t>ecessity (CCN) or a sewer CCN</w:t>
      </w:r>
      <w:r w:rsidR="000000D1">
        <w:t>.</w:t>
      </w:r>
      <w:r w:rsidR="000000D1" w:rsidRPr="007D55D1">
        <w:rPr>
          <w:szCs w:val="24"/>
        </w:rPr>
        <w:t xml:space="preserve"> </w:t>
      </w:r>
    </w:p>
    <w:p w14:paraId="748068CC" w14:textId="36E28391" w:rsidR="0038083F" w:rsidRDefault="00AB7DE3" w:rsidP="00AB7DE3">
      <w:pPr>
        <w:spacing w:after="240"/>
        <w:rPr>
          <w:szCs w:val="24"/>
        </w:rPr>
      </w:pPr>
      <w:r w:rsidRPr="00A010E7">
        <w:rPr>
          <w:szCs w:val="24"/>
        </w:rPr>
        <w:t xml:space="preserve">Under 16 TAC § 24.363(a), </w:t>
      </w:r>
      <w:r>
        <w:rPr>
          <w:szCs w:val="24"/>
        </w:rPr>
        <w:t>CSWR-Texas</w:t>
      </w:r>
      <w:r w:rsidRPr="00A010E7">
        <w:rPr>
          <w:szCs w:val="24"/>
        </w:rPr>
        <w:t xml:space="preserve"> may charge temporary rates “to recover the reasonable costs incurred for interconnection or other costs incurred in making services available and any other reasonable costs incurred to bring the nonfunctioning system into compliance with </w:t>
      </w:r>
      <w:r w:rsidR="00A132A9">
        <w:rPr>
          <w:szCs w:val="24"/>
        </w:rPr>
        <w:t>c</w:t>
      </w:r>
      <w:r w:rsidRPr="00A010E7">
        <w:rPr>
          <w:szCs w:val="24"/>
        </w:rPr>
        <w:t xml:space="preserve">ommission rules.” </w:t>
      </w:r>
      <w:r>
        <w:rPr>
          <w:szCs w:val="24"/>
        </w:rPr>
        <w:t>CSWR-Texas based the proposed temporary rate on the charges the customers were paying to the homeowner’s association for the water and wastewater systems, $125 per customer per month.</w:t>
      </w:r>
      <w:r w:rsidR="00A132A9">
        <w:rPr>
          <w:rStyle w:val="FootnoteReference"/>
          <w:szCs w:val="24"/>
        </w:rPr>
        <w:footnoteReference w:id="1"/>
      </w:r>
      <w:r>
        <w:rPr>
          <w:szCs w:val="24"/>
        </w:rPr>
        <w:t xml:space="preserve"> This amount </w:t>
      </w:r>
      <w:r w:rsidR="00035B4F">
        <w:rPr>
          <w:szCs w:val="24"/>
        </w:rPr>
        <w:t xml:space="preserve">included </w:t>
      </w:r>
      <w:r>
        <w:rPr>
          <w:szCs w:val="24"/>
        </w:rPr>
        <w:t xml:space="preserve">water and sewer service. </w:t>
      </w:r>
      <w:r w:rsidR="0038083F">
        <w:rPr>
          <w:szCs w:val="24"/>
        </w:rPr>
        <w:t xml:space="preserve">As a result, </w:t>
      </w:r>
      <w:r>
        <w:rPr>
          <w:szCs w:val="24"/>
        </w:rPr>
        <w:t>CSWR-Texas notified the customers that the temporary rate would be a flat rate of $62.50 for water and $62.50 for sewer.</w:t>
      </w:r>
      <w:r w:rsidR="00A132A9">
        <w:rPr>
          <w:rStyle w:val="FootnoteReference"/>
          <w:szCs w:val="24"/>
        </w:rPr>
        <w:footnoteReference w:id="2"/>
      </w:r>
      <w:r>
        <w:rPr>
          <w:szCs w:val="24"/>
        </w:rPr>
        <w:t xml:space="preserve"> Based on the </w:t>
      </w:r>
      <w:r w:rsidR="0038083F">
        <w:rPr>
          <w:szCs w:val="24"/>
        </w:rPr>
        <w:t xml:space="preserve">proposed </w:t>
      </w:r>
      <w:r>
        <w:rPr>
          <w:szCs w:val="24"/>
        </w:rPr>
        <w:t xml:space="preserve">temporary rates and the </w:t>
      </w:r>
      <w:r w:rsidR="0038083F">
        <w:rPr>
          <w:szCs w:val="24"/>
        </w:rPr>
        <w:t xml:space="preserve">current </w:t>
      </w:r>
      <w:r>
        <w:rPr>
          <w:szCs w:val="24"/>
        </w:rPr>
        <w:t xml:space="preserve">customer connection count of 27 connections for each </w:t>
      </w:r>
      <w:r w:rsidR="008B166B">
        <w:rPr>
          <w:szCs w:val="24"/>
        </w:rPr>
        <w:t xml:space="preserve">the </w:t>
      </w:r>
      <w:r>
        <w:rPr>
          <w:szCs w:val="24"/>
        </w:rPr>
        <w:t>water and sewer</w:t>
      </w:r>
      <w:r w:rsidR="008B166B">
        <w:rPr>
          <w:szCs w:val="24"/>
        </w:rPr>
        <w:t xml:space="preserve"> systems</w:t>
      </w:r>
      <w:r>
        <w:rPr>
          <w:szCs w:val="24"/>
        </w:rPr>
        <w:t xml:space="preserve">, the estimated revenues would be approximately $3,375 </w:t>
      </w:r>
      <w:r w:rsidR="0038083F">
        <w:rPr>
          <w:szCs w:val="24"/>
        </w:rPr>
        <w:t xml:space="preserve">monthly </w:t>
      </w:r>
      <w:r>
        <w:rPr>
          <w:szCs w:val="24"/>
        </w:rPr>
        <w:t>or $40,500 yearly for the</w:t>
      </w:r>
      <w:r w:rsidR="0038083F">
        <w:rPr>
          <w:szCs w:val="24"/>
        </w:rPr>
        <w:t xml:space="preserve"> combined</w:t>
      </w:r>
      <w:r>
        <w:rPr>
          <w:szCs w:val="24"/>
        </w:rPr>
        <w:t xml:space="preserve"> water and sewer systems</w:t>
      </w:r>
      <w:r w:rsidRPr="00A010E7">
        <w:rPr>
          <w:szCs w:val="24"/>
        </w:rPr>
        <w:t xml:space="preserve">. </w:t>
      </w:r>
    </w:p>
    <w:p w14:paraId="57FCD188" w14:textId="4ED5DB18" w:rsidR="00AB7DE3" w:rsidRPr="00A010E7" w:rsidRDefault="00AB7DE3" w:rsidP="00AB7DE3">
      <w:pPr>
        <w:spacing w:after="240"/>
        <w:rPr>
          <w:szCs w:val="24"/>
        </w:rPr>
      </w:pPr>
      <w:r w:rsidRPr="00A010E7">
        <w:rPr>
          <w:szCs w:val="24"/>
        </w:rPr>
        <w:t xml:space="preserve">On </w:t>
      </w:r>
      <w:r>
        <w:rPr>
          <w:szCs w:val="24"/>
        </w:rPr>
        <w:t>December 18</w:t>
      </w:r>
      <w:r w:rsidRPr="00A010E7">
        <w:rPr>
          <w:szCs w:val="24"/>
        </w:rPr>
        <w:t xml:space="preserve">, 2020, </w:t>
      </w:r>
      <w:r>
        <w:rPr>
          <w:szCs w:val="24"/>
        </w:rPr>
        <w:t xml:space="preserve">CSWR-Texas submitted invoices from the company operating the water and sewer systems </w:t>
      </w:r>
      <w:r w:rsidR="00483886">
        <w:rPr>
          <w:szCs w:val="24"/>
        </w:rPr>
        <w:t xml:space="preserve">for </w:t>
      </w:r>
      <w:r>
        <w:rPr>
          <w:szCs w:val="24"/>
        </w:rPr>
        <w:t>the months of November and December 2020</w:t>
      </w:r>
      <w:r w:rsidR="008A78B5">
        <w:rPr>
          <w:szCs w:val="24"/>
        </w:rPr>
        <w:t xml:space="preserve">, </w:t>
      </w:r>
      <w:r w:rsidR="00483886">
        <w:rPr>
          <w:szCs w:val="24"/>
        </w:rPr>
        <w:t xml:space="preserve">repairs for the </w:t>
      </w:r>
      <w:r w:rsidR="00483886">
        <w:rPr>
          <w:szCs w:val="24"/>
        </w:rPr>
        <w:lastRenderedPageBreak/>
        <w:t>month of October 2020</w:t>
      </w:r>
      <w:r w:rsidR="008A78B5">
        <w:rPr>
          <w:szCs w:val="24"/>
        </w:rPr>
        <w:t>, and</w:t>
      </w:r>
      <w:r>
        <w:rPr>
          <w:szCs w:val="24"/>
        </w:rPr>
        <w:t xml:space="preserve"> an electricity bill for the month of December 2020</w:t>
      </w:r>
      <w:r w:rsidRPr="00A010E7">
        <w:rPr>
          <w:szCs w:val="24"/>
        </w:rPr>
        <w:t>.</w:t>
      </w:r>
      <w:r w:rsidR="00A132A9">
        <w:rPr>
          <w:rStyle w:val="FootnoteReference"/>
          <w:szCs w:val="24"/>
        </w:rPr>
        <w:footnoteReference w:id="3"/>
      </w:r>
      <w:r>
        <w:rPr>
          <w:szCs w:val="24"/>
        </w:rPr>
        <w:t xml:space="preserve"> CSWR-Texas also submitted invoices for billing</w:t>
      </w:r>
      <w:r w:rsidR="003C7C39">
        <w:rPr>
          <w:szCs w:val="24"/>
        </w:rPr>
        <w:t>, set up of the billing system,</w:t>
      </w:r>
      <w:r>
        <w:rPr>
          <w:szCs w:val="24"/>
        </w:rPr>
        <w:t xml:space="preserve"> and an answering service for the water and sewer customers of Castlecomb.</w:t>
      </w:r>
      <w:r w:rsidR="00A132A9">
        <w:rPr>
          <w:rStyle w:val="FootnoteReference"/>
          <w:szCs w:val="24"/>
        </w:rPr>
        <w:footnoteReference w:id="4"/>
      </w:r>
      <w:r>
        <w:rPr>
          <w:szCs w:val="24"/>
        </w:rPr>
        <w:t xml:space="preserve"> These invoices will be reviewed by Spencer English, Rate Regulation Division.</w:t>
      </w:r>
      <w:r w:rsidRPr="00A010E7">
        <w:rPr>
          <w:szCs w:val="24"/>
        </w:rPr>
        <w:t xml:space="preserve"> </w:t>
      </w:r>
    </w:p>
    <w:p w14:paraId="1349E170" w14:textId="57824FE1" w:rsidR="00AB7DE3" w:rsidRDefault="00AB7DE3" w:rsidP="00AB7DE3">
      <w:pPr>
        <w:spacing w:after="240"/>
        <w:rPr>
          <w:color w:val="000000"/>
          <w:sz w:val="22"/>
        </w:rPr>
      </w:pPr>
      <w:r w:rsidRPr="00EF1D2B">
        <w:rPr>
          <w:szCs w:val="24"/>
        </w:rPr>
        <w:t xml:space="preserve">The following table provides a summary of expenses that I recommend be included in the calculation of rates. </w:t>
      </w:r>
      <w:r>
        <w:rPr>
          <w:szCs w:val="24"/>
        </w:rPr>
        <w:t xml:space="preserve">CSWR-Texas provided </w:t>
      </w:r>
      <w:r w:rsidRPr="00EF1D2B">
        <w:rPr>
          <w:szCs w:val="24"/>
        </w:rPr>
        <w:t>expenses for</w:t>
      </w:r>
      <w:r>
        <w:rPr>
          <w:szCs w:val="24"/>
        </w:rPr>
        <w:t xml:space="preserve"> </w:t>
      </w:r>
      <w:r w:rsidR="00A261C6">
        <w:rPr>
          <w:szCs w:val="24"/>
        </w:rPr>
        <w:t>two</w:t>
      </w:r>
      <w:r w:rsidRPr="00EF1D2B">
        <w:rPr>
          <w:szCs w:val="24"/>
        </w:rPr>
        <w:t xml:space="preserve"> month</w:t>
      </w:r>
      <w:r w:rsidR="00A261C6">
        <w:rPr>
          <w:szCs w:val="24"/>
        </w:rPr>
        <w:t>s</w:t>
      </w:r>
      <w:r w:rsidRPr="00EF1D2B">
        <w:rPr>
          <w:szCs w:val="24"/>
        </w:rPr>
        <w:t xml:space="preserve"> of operation of the utility</w:t>
      </w:r>
      <w:r w:rsidR="00A261C6">
        <w:rPr>
          <w:szCs w:val="24"/>
        </w:rPr>
        <w:t xml:space="preserve"> and one month for electricity, repairs, and customer billing</w:t>
      </w:r>
      <w:r>
        <w:rPr>
          <w:szCs w:val="24"/>
        </w:rPr>
        <w:t>. These expenses</w:t>
      </w:r>
      <w:r w:rsidRPr="00EF1D2B">
        <w:rPr>
          <w:szCs w:val="24"/>
        </w:rPr>
        <w:t xml:space="preserve"> have been annualized by multiplying </w:t>
      </w:r>
      <w:r w:rsidR="00A261C6">
        <w:rPr>
          <w:szCs w:val="24"/>
        </w:rPr>
        <w:t xml:space="preserve">the equivalent of one month of operation of the utility </w:t>
      </w:r>
      <w:r w:rsidRPr="00EF1D2B">
        <w:rPr>
          <w:szCs w:val="24"/>
        </w:rPr>
        <w:t xml:space="preserve">by </w:t>
      </w:r>
      <w:r w:rsidR="00A132A9">
        <w:rPr>
          <w:szCs w:val="24"/>
        </w:rPr>
        <w:t>twelve</w:t>
      </w:r>
      <w:r w:rsidRPr="00EF1D2B">
        <w:rPr>
          <w:szCs w:val="24"/>
        </w:rPr>
        <w:t>.</w:t>
      </w:r>
      <w:r>
        <w:rPr>
          <w:szCs w:val="24"/>
        </w:rPr>
        <w:t xml:space="preserve"> I allowed for laboratory fees based on the sampling schedule of Castlecomb</w:t>
      </w:r>
      <w:r w:rsidR="008B166B">
        <w:rPr>
          <w:szCs w:val="24"/>
        </w:rPr>
        <w:t xml:space="preserve"> </w:t>
      </w:r>
      <w:r>
        <w:rPr>
          <w:szCs w:val="24"/>
        </w:rPr>
        <w:t>and the costs from the Texas Commission on Environmental Quality’s (TCEQ) website at:</w:t>
      </w:r>
      <w:hyperlink r:id="rId9" w:history="1">
        <w:r w:rsidRPr="009135A3">
          <w:rPr>
            <w:rStyle w:val="Hyperlink"/>
            <w:sz w:val="22"/>
          </w:rPr>
          <w:t>https://www.tceq.texas.gov/assets/public/permitting/watersupply/pdw/chemicals/LabFees.pdf</w:t>
        </w:r>
      </w:hyperlink>
      <w:r w:rsidRPr="003A668D">
        <w:rPr>
          <w:color w:val="000000"/>
          <w:sz w:val="22"/>
        </w:rPr>
        <w:t>.</w:t>
      </w:r>
      <w:r>
        <w:rPr>
          <w:color w:val="000000"/>
          <w:sz w:val="22"/>
        </w:rPr>
        <w:t xml:space="preserve"> </w:t>
      </w:r>
      <w:r w:rsidRPr="003A668D">
        <w:rPr>
          <w:color w:val="000000"/>
          <w:sz w:val="22"/>
        </w:rPr>
        <w:t xml:space="preserve"> </w:t>
      </w:r>
      <w:r>
        <w:rPr>
          <w:color w:val="000000"/>
          <w:sz w:val="22"/>
        </w:rPr>
        <w:t xml:space="preserve"> </w:t>
      </w:r>
    </w:p>
    <w:p w14:paraId="145A3293" w14:textId="5EC03E45" w:rsidR="00AB7DE3" w:rsidRPr="00EF1D2B" w:rsidRDefault="00AB7DE3" w:rsidP="00AB7DE3">
      <w:pPr>
        <w:spacing w:after="240"/>
        <w:rPr>
          <w:szCs w:val="24"/>
        </w:rPr>
      </w:pPr>
      <w:r>
        <w:rPr>
          <w:szCs w:val="24"/>
        </w:rPr>
        <w:t xml:space="preserve">Additionally, I allowed for an amount to cover the costs of chlorine disinfection of the well. Based on previous reviews of other </w:t>
      </w:r>
      <w:r w:rsidR="00A132A9">
        <w:rPr>
          <w:szCs w:val="24"/>
        </w:rPr>
        <w:t xml:space="preserve">similar </w:t>
      </w:r>
      <w:r>
        <w:rPr>
          <w:szCs w:val="24"/>
        </w:rPr>
        <w:t>water systems</w:t>
      </w:r>
      <w:r w:rsidR="0038083F">
        <w:rPr>
          <w:szCs w:val="24"/>
        </w:rPr>
        <w:t>,</w:t>
      </w:r>
      <w:r>
        <w:rPr>
          <w:szCs w:val="24"/>
        </w:rPr>
        <w:t xml:space="preserve"> I allowed </w:t>
      </w:r>
      <w:r w:rsidR="008C11CB">
        <w:rPr>
          <w:szCs w:val="24"/>
        </w:rPr>
        <w:t xml:space="preserve">an amount equivalent to </w:t>
      </w:r>
      <w:r w:rsidR="00A132A9">
        <w:rPr>
          <w:szCs w:val="24"/>
        </w:rPr>
        <w:t xml:space="preserve">twelve </w:t>
      </w:r>
      <w:r>
        <w:rPr>
          <w:szCs w:val="24"/>
        </w:rPr>
        <w:t xml:space="preserve">gallons per month at $1.90 per gallon. </w:t>
      </w:r>
    </w:p>
    <w:p w14:paraId="6352DD4F" w14:textId="77777777" w:rsidR="00AB7DE3" w:rsidRDefault="00AB7DE3" w:rsidP="00AB7DE3">
      <w:pPr>
        <w:spacing w:after="240"/>
        <w:rPr>
          <w:szCs w:val="24"/>
        </w:rPr>
      </w:pPr>
      <w:r w:rsidRPr="00A010E7">
        <w:rPr>
          <w:szCs w:val="24"/>
        </w:rPr>
        <w:t>I have used th</w:t>
      </w:r>
      <w:r>
        <w:rPr>
          <w:szCs w:val="24"/>
        </w:rPr>
        <w:t>e</w:t>
      </w:r>
      <w:r w:rsidRPr="00A010E7">
        <w:rPr>
          <w:szCs w:val="24"/>
        </w:rPr>
        <w:t xml:space="preserve"> actual costs</w:t>
      </w:r>
      <w:r>
        <w:rPr>
          <w:szCs w:val="24"/>
        </w:rPr>
        <w:t xml:space="preserve"> from the invoices and electricity bills submitted by CSWR-Texas along with the estimated costs for laboratory fees and chlorine disinfection of the well</w:t>
      </w:r>
      <w:r w:rsidRPr="00A010E7">
        <w:rPr>
          <w:szCs w:val="24"/>
        </w:rPr>
        <w:t xml:space="preserve"> to recommend </w:t>
      </w:r>
      <w:r>
        <w:rPr>
          <w:szCs w:val="24"/>
        </w:rPr>
        <w:t>the expenses</w:t>
      </w:r>
      <w:r w:rsidRPr="00A010E7">
        <w:rPr>
          <w:szCs w:val="24"/>
        </w:rPr>
        <w:t xml:space="preserve"> for the calculation of the temporary rates.</w:t>
      </w:r>
      <w:r>
        <w:rPr>
          <w:szCs w:val="24"/>
        </w:rPr>
        <w:t xml:space="preserve"> </w:t>
      </w:r>
    </w:p>
    <w:p w14:paraId="7D010A78" w14:textId="586E77BD" w:rsidR="00AB7DE3" w:rsidRDefault="00AB7DE3" w:rsidP="00AB7DE3">
      <w:pPr>
        <w:rPr>
          <w:szCs w:val="24"/>
        </w:rPr>
      </w:pPr>
      <w:r>
        <w:t>CSWR-Texas</w:t>
      </w:r>
      <w:r w:rsidRPr="00212C5C">
        <w:t xml:space="preserve"> requested a total yearly expense of $</w:t>
      </w:r>
      <w:r>
        <w:t>40,500</w:t>
      </w:r>
      <w:r w:rsidRPr="00212C5C">
        <w:t xml:space="preserve"> for the temporary rates</w:t>
      </w:r>
      <w:r>
        <w:t>.</w:t>
      </w:r>
      <w:r w:rsidR="00A132A9">
        <w:rPr>
          <w:rStyle w:val="FootnoteReference"/>
        </w:rPr>
        <w:footnoteReference w:id="5"/>
      </w:r>
      <w:r>
        <w:t xml:space="preserve"> This was based on the rates the customers were already paying to their homeowner’s association for the upkeep of the water and sewer systems. It was not based on estimates from CSWR-Texas for the operation of the water and sewer systems. </w:t>
      </w:r>
      <w:r w:rsidRPr="00212C5C">
        <w:t xml:space="preserve">I reviewed the </w:t>
      </w:r>
      <w:r>
        <w:t>invoices and electricity bill</w:t>
      </w:r>
      <w:r w:rsidR="00A132A9">
        <w:t>s</w:t>
      </w:r>
      <w:r w:rsidRPr="00212C5C">
        <w:t xml:space="preserve"> </w:t>
      </w:r>
      <w:r>
        <w:rPr>
          <w:szCs w:val="24"/>
        </w:rPr>
        <w:t>submitted by CSWR-Texas along with the estimated costs for laboratory fees and chlorine disinfection of the well</w:t>
      </w:r>
      <w:r w:rsidRPr="00212C5C">
        <w:t xml:space="preserve">. </w:t>
      </w:r>
      <w:r>
        <w:t xml:space="preserve">The invoices </w:t>
      </w:r>
      <w:r>
        <w:rPr>
          <w:szCs w:val="24"/>
        </w:rPr>
        <w:t>submitted for billing</w:t>
      </w:r>
      <w:r w:rsidR="003C7C39">
        <w:rPr>
          <w:szCs w:val="24"/>
        </w:rPr>
        <w:t>,</w:t>
      </w:r>
      <w:r w:rsidR="003C7C39" w:rsidRPr="003C7C39">
        <w:rPr>
          <w:szCs w:val="24"/>
        </w:rPr>
        <w:t xml:space="preserve"> </w:t>
      </w:r>
      <w:r w:rsidR="003C7C39">
        <w:rPr>
          <w:szCs w:val="24"/>
        </w:rPr>
        <w:t>set up of the billing system,</w:t>
      </w:r>
      <w:r>
        <w:rPr>
          <w:szCs w:val="24"/>
        </w:rPr>
        <w:t xml:space="preserve"> and the answering service for the water and sewer customers of Castlecomb will be reviewed by Spencer English in the Rate Regulation Division.</w:t>
      </w:r>
      <w:r w:rsidRPr="00A010E7">
        <w:rPr>
          <w:szCs w:val="24"/>
        </w:rPr>
        <w:t xml:space="preserve"> </w:t>
      </w:r>
      <w:r w:rsidRPr="00212C5C">
        <w:t>I recommend inclusion of $</w:t>
      </w:r>
      <w:r>
        <w:t>15,307</w:t>
      </w:r>
      <w:r w:rsidRPr="00212C5C">
        <w:t xml:space="preserve"> in expenses for the temporary rates</w:t>
      </w:r>
      <w:r>
        <w:t xml:space="preserve"> for the water system and $</w:t>
      </w:r>
      <w:r w:rsidR="00217066">
        <w:t>19,22</w:t>
      </w:r>
      <w:r>
        <w:t>0 in expenses for the temporary rates for the sewer system</w:t>
      </w:r>
      <w:r w:rsidRPr="00212C5C">
        <w:t xml:space="preserve">. </w:t>
      </w:r>
      <w:r w:rsidR="008C11CB">
        <w:rPr>
          <w:szCs w:val="24"/>
        </w:rPr>
        <w:t>T</w:t>
      </w:r>
      <w:r w:rsidRPr="00212C5C">
        <w:rPr>
          <w:szCs w:val="24"/>
        </w:rPr>
        <w:t>he total costs I calculated are at a level consistent with other similar systems that I have reviewed over the years.</w:t>
      </w:r>
    </w:p>
    <w:p w14:paraId="2BFB9794" w14:textId="77777777" w:rsidR="00AB7DE3" w:rsidRDefault="00AB7DE3" w:rsidP="00AB7DE3">
      <w:pPr>
        <w:rPr>
          <w:szCs w:val="24"/>
        </w:rPr>
      </w:pPr>
    </w:p>
    <w:p w14:paraId="6DF2D783" w14:textId="77777777" w:rsidR="00AB7DE3" w:rsidRDefault="00AB7DE3" w:rsidP="00AB7DE3">
      <w:pPr>
        <w:rPr>
          <w:b/>
          <w:bCs/>
          <w:szCs w:val="24"/>
        </w:rPr>
      </w:pPr>
      <w:r w:rsidRPr="007644D8">
        <w:rPr>
          <w:b/>
          <w:bCs/>
          <w:szCs w:val="24"/>
        </w:rPr>
        <w:t>Water System</w:t>
      </w:r>
    </w:p>
    <w:p w14:paraId="1842B920" w14:textId="77777777" w:rsidR="00AB7DE3" w:rsidRPr="007644D8" w:rsidRDefault="00AB7DE3" w:rsidP="00AB7DE3">
      <w:pPr>
        <w:rPr>
          <w:b/>
          <w:bCs/>
        </w:rPr>
      </w:pPr>
    </w:p>
    <w:tbl>
      <w:tblPr>
        <w:tblW w:w="5000" w:type="pct"/>
        <w:tblLayout w:type="fixed"/>
        <w:tblLook w:val="04A0" w:firstRow="1" w:lastRow="0" w:firstColumn="1" w:lastColumn="0" w:noHBand="0" w:noVBand="1"/>
      </w:tblPr>
      <w:tblGrid>
        <w:gridCol w:w="1470"/>
        <w:gridCol w:w="1680"/>
        <w:gridCol w:w="5845"/>
      </w:tblGrid>
      <w:tr w:rsidR="00AB7DE3" w:rsidRPr="00A010E7" w14:paraId="117584C2" w14:textId="77777777" w:rsidTr="00C81305">
        <w:trPr>
          <w:trHeight w:val="915"/>
          <w:tblHeader/>
        </w:trPr>
        <w:tc>
          <w:tcPr>
            <w:tcW w:w="817" w:type="pct"/>
            <w:tcBorders>
              <w:top w:val="nil"/>
              <w:left w:val="nil"/>
              <w:bottom w:val="nil"/>
              <w:right w:val="nil"/>
            </w:tcBorders>
            <w:shd w:val="clear" w:color="auto" w:fill="auto"/>
            <w:noWrap/>
            <w:vAlign w:val="bottom"/>
            <w:hideMark/>
          </w:tcPr>
          <w:p w14:paraId="52C4AFE7" w14:textId="77777777" w:rsidR="00AB7DE3" w:rsidRPr="004F353D" w:rsidRDefault="00AB7DE3" w:rsidP="002D2147">
            <w:pPr>
              <w:rPr>
                <w:sz w:val="22"/>
              </w:rPr>
            </w:pPr>
          </w:p>
        </w:tc>
        <w:tc>
          <w:tcPr>
            <w:tcW w:w="934" w:type="pct"/>
            <w:vMerge w:val="restart"/>
            <w:tcBorders>
              <w:top w:val="single" w:sz="4" w:space="0" w:color="auto"/>
              <w:left w:val="single" w:sz="4" w:space="0" w:color="auto"/>
              <w:right w:val="single" w:sz="4" w:space="0" w:color="auto"/>
            </w:tcBorders>
            <w:shd w:val="clear" w:color="auto" w:fill="BFBFBF" w:themeFill="background1" w:themeFillShade="BF"/>
            <w:vAlign w:val="bottom"/>
          </w:tcPr>
          <w:p w14:paraId="5E9D225C" w14:textId="77777777" w:rsidR="00AB7DE3" w:rsidRPr="00C81305" w:rsidRDefault="00AB7DE3" w:rsidP="002D2147">
            <w:pPr>
              <w:jc w:val="center"/>
              <w:rPr>
                <w:b/>
                <w:bCs/>
                <w:sz w:val="22"/>
              </w:rPr>
            </w:pPr>
            <w:r w:rsidRPr="00C81305">
              <w:rPr>
                <w:b/>
                <w:bCs/>
                <w:sz w:val="22"/>
              </w:rPr>
              <w:t>Staff’s Recommended Yearly Costs</w:t>
            </w:r>
          </w:p>
        </w:tc>
        <w:tc>
          <w:tcPr>
            <w:tcW w:w="3249" w:type="pct"/>
            <w:vMerge w:val="restart"/>
            <w:tcBorders>
              <w:top w:val="single" w:sz="4" w:space="0" w:color="auto"/>
              <w:left w:val="single" w:sz="4" w:space="0" w:color="auto"/>
              <w:bottom w:val="single" w:sz="4" w:space="0" w:color="000000"/>
              <w:right w:val="single" w:sz="4" w:space="0" w:color="auto"/>
            </w:tcBorders>
            <w:shd w:val="clear" w:color="000000" w:fill="BFBFBF"/>
            <w:vAlign w:val="bottom"/>
            <w:hideMark/>
          </w:tcPr>
          <w:p w14:paraId="4D3BFD69" w14:textId="77777777" w:rsidR="00AB7DE3" w:rsidRPr="00C81305" w:rsidRDefault="00AB7DE3" w:rsidP="002D2147">
            <w:pPr>
              <w:rPr>
                <w:b/>
                <w:bCs/>
                <w:sz w:val="22"/>
              </w:rPr>
            </w:pPr>
            <w:r w:rsidRPr="00C81305">
              <w:rPr>
                <w:b/>
                <w:bCs/>
                <w:sz w:val="22"/>
              </w:rPr>
              <w:t>Description of Costs (see attached workpapers for details)</w:t>
            </w:r>
          </w:p>
        </w:tc>
      </w:tr>
      <w:tr w:rsidR="00AB7DE3" w:rsidRPr="00A010E7" w14:paraId="233925D9" w14:textId="77777777" w:rsidTr="00C81305">
        <w:trPr>
          <w:trHeight w:val="70"/>
        </w:trPr>
        <w:tc>
          <w:tcPr>
            <w:tcW w:w="817" w:type="pct"/>
            <w:tcBorders>
              <w:top w:val="nil"/>
              <w:left w:val="nil"/>
              <w:bottom w:val="nil"/>
              <w:right w:val="nil"/>
            </w:tcBorders>
            <w:shd w:val="clear" w:color="auto" w:fill="auto"/>
            <w:noWrap/>
            <w:vAlign w:val="bottom"/>
            <w:hideMark/>
          </w:tcPr>
          <w:p w14:paraId="6472B142" w14:textId="77777777" w:rsidR="00AB7DE3" w:rsidRPr="004F353D" w:rsidRDefault="00AB7DE3" w:rsidP="002D2147">
            <w:pPr>
              <w:jc w:val="center"/>
              <w:rPr>
                <w:sz w:val="22"/>
              </w:rPr>
            </w:pPr>
          </w:p>
        </w:tc>
        <w:tc>
          <w:tcPr>
            <w:tcW w:w="934" w:type="pct"/>
            <w:vMerge/>
            <w:tcBorders>
              <w:left w:val="single" w:sz="4" w:space="0" w:color="auto"/>
              <w:bottom w:val="single" w:sz="4" w:space="0" w:color="auto"/>
              <w:right w:val="single" w:sz="4" w:space="0" w:color="auto"/>
            </w:tcBorders>
            <w:shd w:val="clear" w:color="auto" w:fill="BFBFBF" w:themeFill="background1" w:themeFillShade="BF"/>
            <w:vAlign w:val="center"/>
          </w:tcPr>
          <w:p w14:paraId="1F072651" w14:textId="77777777" w:rsidR="00AB7DE3" w:rsidRPr="004F353D" w:rsidRDefault="00AB7DE3" w:rsidP="002D2147">
            <w:pPr>
              <w:rPr>
                <w:sz w:val="22"/>
              </w:rPr>
            </w:pPr>
          </w:p>
        </w:tc>
        <w:tc>
          <w:tcPr>
            <w:tcW w:w="3249" w:type="pct"/>
            <w:vMerge/>
            <w:tcBorders>
              <w:top w:val="single" w:sz="4" w:space="0" w:color="auto"/>
              <w:left w:val="single" w:sz="4" w:space="0" w:color="auto"/>
              <w:bottom w:val="single" w:sz="4" w:space="0" w:color="000000"/>
              <w:right w:val="single" w:sz="4" w:space="0" w:color="auto"/>
            </w:tcBorders>
            <w:vAlign w:val="center"/>
            <w:hideMark/>
          </w:tcPr>
          <w:p w14:paraId="7055B622" w14:textId="77777777" w:rsidR="00AB7DE3" w:rsidRPr="004F353D" w:rsidRDefault="00AB7DE3" w:rsidP="002D2147">
            <w:pPr>
              <w:rPr>
                <w:sz w:val="22"/>
              </w:rPr>
            </w:pPr>
          </w:p>
        </w:tc>
      </w:tr>
      <w:tr w:rsidR="00AB7DE3" w:rsidRPr="00A010E7" w14:paraId="09A15F58" w14:textId="77777777" w:rsidTr="00C81305">
        <w:trPr>
          <w:trHeight w:val="300"/>
        </w:trPr>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6DB418" w14:textId="77777777" w:rsidR="00AB7DE3" w:rsidRPr="004F353D" w:rsidRDefault="00AB7DE3" w:rsidP="002D2147">
            <w:pPr>
              <w:rPr>
                <w:color w:val="000000"/>
                <w:sz w:val="22"/>
              </w:rPr>
            </w:pPr>
            <w:r w:rsidRPr="004F353D">
              <w:rPr>
                <w:color w:val="000000"/>
                <w:sz w:val="22"/>
              </w:rPr>
              <w:t>General Operations &amp; Maintenance</w:t>
            </w:r>
          </w:p>
        </w:tc>
        <w:tc>
          <w:tcPr>
            <w:tcW w:w="934" w:type="pct"/>
            <w:tcBorders>
              <w:top w:val="single" w:sz="4" w:space="0" w:color="auto"/>
              <w:left w:val="single" w:sz="4" w:space="0" w:color="auto"/>
              <w:bottom w:val="single" w:sz="4" w:space="0" w:color="auto"/>
              <w:right w:val="single" w:sz="4" w:space="0" w:color="auto"/>
            </w:tcBorders>
            <w:vAlign w:val="center"/>
          </w:tcPr>
          <w:p w14:paraId="25A2FAC0" w14:textId="77777777" w:rsidR="00AB7DE3" w:rsidRPr="004F353D" w:rsidRDefault="00AB7DE3" w:rsidP="002D2147">
            <w:pPr>
              <w:jc w:val="right"/>
              <w:rPr>
                <w:sz w:val="22"/>
              </w:rPr>
            </w:pPr>
            <w:r w:rsidRPr="004F353D">
              <w:rPr>
                <w:sz w:val="22"/>
              </w:rPr>
              <w:t>$</w:t>
            </w:r>
            <w:r>
              <w:rPr>
                <w:sz w:val="22"/>
              </w:rPr>
              <w:t>9,000.00</w:t>
            </w:r>
          </w:p>
        </w:tc>
        <w:tc>
          <w:tcPr>
            <w:tcW w:w="3249" w:type="pct"/>
            <w:tcBorders>
              <w:top w:val="nil"/>
              <w:left w:val="nil"/>
              <w:bottom w:val="single" w:sz="4" w:space="0" w:color="auto"/>
              <w:right w:val="single" w:sz="4" w:space="0" w:color="auto"/>
            </w:tcBorders>
            <w:shd w:val="clear" w:color="auto" w:fill="auto"/>
            <w:vAlign w:val="center"/>
            <w:hideMark/>
          </w:tcPr>
          <w:p w14:paraId="787A5F27" w14:textId="428AB7F6" w:rsidR="00AB7DE3" w:rsidRPr="004F353D" w:rsidRDefault="00AB7DE3" w:rsidP="002D2147">
            <w:pPr>
              <w:rPr>
                <w:sz w:val="22"/>
              </w:rPr>
            </w:pPr>
            <w:r w:rsidRPr="004F353D">
              <w:rPr>
                <w:color w:val="000000"/>
                <w:sz w:val="22"/>
              </w:rPr>
              <w:t xml:space="preserve">Invoices provided by </w:t>
            </w:r>
            <w:r>
              <w:rPr>
                <w:color w:val="000000"/>
                <w:sz w:val="22"/>
              </w:rPr>
              <w:t>CSWR-Texas</w:t>
            </w:r>
            <w:r w:rsidRPr="004F353D">
              <w:rPr>
                <w:color w:val="000000"/>
                <w:sz w:val="22"/>
              </w:rPr>
              <w:t xml:space="preserve">. </w:t>
            </w:r>
          </w:p>
        </w:tc>
      </w:tr>
      <w:tr w:rsidR="00AB7DE3" w:rsidRPr="00A010E7" w14:paraId="4B7FB6D0" w14:textId="77777777" w:rsidTr="00C81305">
        <w:trPr>
          <w:trHeight w:val="1200"/>
        </w:trPr>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D37655" w14:textId="77777777" w:rsidR="00AB7DE3" w:rsidRPr="004F353D" w:rsidRDefault="00AB7DE3" w:rsidP="002D2147">
            <w:pPr>
              <w:rPr>
                <w:color w:val="000000"/>
                <w:sz w:val="22"/>
              </w:rPr>
            </w:pPr>
            <w:r w:rsidRPr="004F353D">
              <w:rPr>
                <w:color w:val="000000"/>
                <w:sz w:val="22"/>
              </w:rPr>
              <w:lastRenderedPageBreak/>
              <w:t xml:space="preserve">Laboratory Fees                </w:t>
            </w:r>
          </w:p>
        </w:tc>
        <w:tc>
          <w:tcPr>
            <w:tcW w:w="934" w:type="pct"/>
            <w:tcBorders>
              <w:top w:val="single" w:sz="4" w:space="0" w:color="auto"/>
              <w:left w:val="single" w:sz="4" w:space="0" w:color="auto"/>
              <w:bottom w:val="single" w:sz="4" w:space="0" w:color="auto"/>
              <w:right w:val="single" w:sz="4" w:space="0" w:color="auto"/>
            </w:tcBorders>
            <w:vAlign w:val="center"/>
          </w:tcPr>
          <w:p w14:paraId="616F59AB" w14:textId="77777777" w:rsidR="00AB7DE3" w:rsidRPr="004F353D" w:rsidRDefault="00AB7DE3" w:rsidP="002D2147">
            <w:pPr>
              <w:jc w:val="right"/>
              <w:rPr>
                <w:sz w:val="22"/>
              </w:rPr>
            </w:pPr>
            <w:r w:rsidRPr="004F353D">
              <w:rPr>
                <w:sz w:val="22"/>
              </w:rPr>
              <w:t>$1,</w:t>
            </w:r>
            <w:r>
              <w:rPr>
                <w:sz w:val="22"/>
              </w:rPr>
              <w:t>074.48</w:t>
            </w:r>
          </w:p>
        </w:tc>
        <w:tc>
          <w:tcPr>
            <w:tcW w:w="3249" w:type="pct"/>
            <w:tcBorders>
              <w:top w:val="single" w:sz="4" w:space="0" w:color="auto"/>
              <w:left w:val="nil"/>
              <w:bottom w:val="single" w:sz="4" w:space="0" w:color="auto"/>
              <w:right w:val="single" w:sz="4" w:space="0" w:color="auto"/>
            </w:tcBorders>
            <w:shd w:val="clear" w:color="auto" w:fill="auto"/>
            <w:vAlign w:val="bottom"/>
            <w:hideMark/>
          </w:tcPr>
          <w:p w14:paraId="07CFD735" w14:textId="268F58EE" w:rsidR="00AB7DE3" w:rsidRPr="008C11CB" w:rsidRDefault="00AB7DE3" w:rsidP="00E26FF8">
            <w:pPr>
              <w:jc w:val="left"/>
              <w:rPr>
                <w:sz w:val="22"/>
              </w:rPr>
            </w:pPr>
            <w:r w:rsidRPr="00E26FF8">
              <w:rPr>
                <w:color w:val="000000"/>
                <w:sz w:val="22"/>
              </w:rPr>
              <w:t xml:space="preserve">My recommended costs were calculated using the testing schedule for this water system from TCEQ’s Drinking Water Watch database and the fees from </w:t>
            </w:r>
            <w:hyperlink r:id="rId10" w:history="1">
              <w:r w:rsidRPr="000000D1">
                <w:rPr>
                  <w:rStyle w:val="Hyperlink"/>
                  <w:sz w:val="22"/>
                  <w:szCs w:val="22"/>
                </w:rPr>
                <w:t>https://www.tceq.texas.gov/assets/public/permitting/watersupply/pdw/chemicals/LabFees.pdf.</w:t>
              </w:r>
            </w:hyperlink>
            <w:r w:rsidRPr="00E26FF8">
              <w:rPr>
                <w:color w:val="000000"/>
                <w:sz w:val="22"/>
              </w:rPr>
              <w:t xml:space="preserve"> </w:t>
            </w:r>
          </w:p>
        </w:tc>
      </w:tr>
      <w:tr w:rsidR="00AB7DE3" w:rsidRPr="00A010E7" w14:paraId="71E5B632" w14:textId="77777777" w:rsidTr="00C81305">
        <w:trPr>
          <w:trHeight w:val="300"/>
        </w:trPr>
        <w:tc>
          <w:tcPr>
            <w:tcW w:w="817" w:type="pct"/>
            <w:tcBorders>
              <w:top w:val="nil"/>
              <w:left w:val="single" w:sz="4" w:space="0" w:color="auto"/>
              <w:bottom w:val="single" w:sz="4" w:space="0" w:color="auto"/>
              <w:right w:val="single" w:sz="4" w:space="0" w:color="auto"/>
            </w:tcBorders>
            <w:shd w:val="clear" w:color="auto" w:fill="auto"/>
            <w:vAlign w:val="center"/>
            <w:hideMark/>
          </w:tcPr>
          <w:p w14:paraId="7D9529FE" w14:textId="77777777" w:rsidR="00AB7DE3" w:rsidRPr="004F353D" w:rsidRDefault="00AB7DE3" w:rsidP="002D2147">
            <w:pPr>
              <w:rPr>
                <w:color w:val="000000"/>
                <w:sz w:val="22"/>
              </w:rPr>
            </w:pPr>
            <w:r w:rsidRPr="004F353D">
              <w:rPr>
                <w:color w:val="000000"/>
                <w:sz w:val="22"/>
              </w:rPr>
              <w:t xml:space="preserve">Chlorine Expenses                           </w:t>
            </w:r>
          </w:p>
        </w:tc>
        <w:tc>
          <w:tcPr>
            <w:tcW w:w="934" w:type="pct"/>
            <w:tcBorders>
              <w:top w:val="single" w:sz="4" w:space="0" w:color="auto"/>
              <w:left w:val="single" w:sz="4" w:space="0" w:color="auto"/>
              <w:bottom w:val="single" w:sz="4" w:space="0" w:color="auto"/>
              <w:right w:val="single" w:sz="4" w:space="0" w:color="auto"/>
            </w:tcBorders>
            <w:vAlign w:val="center"/>
          </w:tcPr>
          <w:p w14:paraId="5E78ECB5" w14:textId="77777777" w:rsidR="00AB7DE3" w:rsidRPr="004F353D" w:rsidRDefault="00AB7DE3" w:rsidP="002D2147">
            <w:pPr>
              <w:jc w:val="right"/>
              <w:rPr>
                <w:sz w:val="22"/>
              </w:rPr>
            </w:pPr>
            <w:r w:rsidRPr="004F353D">
              <w:rPr>
                <w:sz w:val="22"/>
              </w:rPr>
              <w:t>$273.60</w:t>
            </w:r>
          </w:p>
        </w:tc>
        <w:tc>
          <w:tcPr>
            <w:tcW w:w="3249" w:type="pct"/>
            <w:tcBorders>
              <w:top w:val="nil"/>
              <w:left w:val="nil"/>
              <w:bottom w:val="single" w:sz="4" w:space="0" w:color="auto"/>
              <w:right w:val="single" w:sz="4" w:space="0" w:color="auto"/>
            </w:tcBorders>
            <w:shd w:val="clear" w:color="auto" w:fill="auto"/>
            <w:vAlign w:val="center"/>
            <w:hideMark/>
          </w:tcPr>
          <w:p w14:paraId="601DCA46" w14:textId="77777777" w:rsidR="00AB7DE3" w:rsidRPr="004F353D" w:rsidRDefault="00AB7DE3" w:rsidP="002D2147">
            <w:pPr>
              <w:rPr>
                <w:sz w:val="22"/>
              </w:rPr>
            </w:pPr>
            <w:r w:rsidRPr="004F353D">
              <w:rPr>
                <w:color w:val="000000"/>
                <w:sz w:val="22"/>
              </w:rPr>
              <w:t xml:space="preserve">Based on an estimate of 12 gallons per month at $1.90 per gallon. No documentation provided by </w:t>
            </w:r>
            <w:r>
              <w:rPr>
                <w:color w:val="000000"/>
                <w:sz w:val="22"/>
              </w:rPr>
              <w:t>CSWR-Texas</w:t>
            </w:r>
            <w:r w:rsidRPr="004F353D">
              <w:rPr>
                <w:color w:val="000000"/>
                <w:sz w:val="22"/>
              </w:rPr>
              <w:t>.</w:t>
            </w:r>
          </w:p>
        </w:tc>
      </w:tr>
      <w:tr w:rsidR="00AB7DE3" w:rsidRPr="00A010E7" w14:paraId="2C0F3ECB" w14:textId="77777777" w:rsidTr="00C81305">
        <w:trPr>
          <w:trHeight w:val="600"/>
        </w:trPr>
        <w:tc>
          <w:tcPr>
            <w:tcW w:w="817" w:type="pct"/>
            <w:tcBorders>
              <w:top w:val="nil"/>
              <w:left w:val="single" w:sz="4" w:space="0" w:color="auto"/>
              <w:bottom w:val="single" w:sz="4" w:space="0" w:color="auto"/>
              <w:right w:val="single" w:sz="4" w:space="0" w:color="auto"/>
            </w:tcBorders>
            <w:shd w:val="clear" w:color="auto" w:fill="auto"/>
            <w:vAlign w:val="center"/>
            <w:hideMark/>
          </w:tcPr>
          <w:p w14:paraId="148B830B" w14:textId="77777777" w:rsidR="00AB7DE3" w:rsidRPr="004F353D" w:rsidRDefault="00AB7DE3" w:rsidP="002D2147">
            <w:pPr>
              <w:rPr>
                <w:color w:val="000000"/>
                <w:sz w:val="22"/>
              </w:rPr>
            </w:pPr>
            <w:r w:rsidRPr="004F353D">
              <w:rPr>
                <w:color w:val="000000"/>
                <w:sz w:val="22"/>
              </w:rPr>
              <w:t>Electric Utility Bills</w:t>
            </w:r>
          </w:p>
        </w:tc>
        <w:tc>
          <w:tcPr>
            <w:tcW w:w="934" w:type="pct"/>
            <w:tcBorders>
              <w:top w:val="single" w:sz="4" w:space="0" w:color="auto"/>
              <w:left w:val="single" w:sz="4" w:space="0" w:color="auto"/>
              <w:bottom w:val="single" w:sz="4" w:space="0" w:color="auto"/>
              <w:right w:val="single" w:sz="4" w:space="0" w:color="auto"/>
            </w:tcBorders>
            <w:vAlign w:val="center"/>
          </w:tcPr>
          <w:p w14:paraId="472EFF9B" w14:textId="77777777" w:rsidR="00AB7DE3" w:rsidRPr="004F353D" w:rsidRDefault="00AB7DE3" w:rsidP="002D2147">
            <w:pPr>
              <w:jc w:val="right"/>
              <w:rPr>
                <w:sz w:val="22"/>
              </w:rPr>
            </w:pPr>
            <w:r w:rsidRPr="004F353D">
              <w:rPr>
                <w:sz w:val="22"/>
              </w:rPr>
              <w:t>$</w:t>
            </w:r>
            <w:r>
              <w:rPr>
                <w:sz w:val="22"/>
              </w:rPr>
              <w:t>2,406.00</w:t>
            </w:r>
          </w:p>
        </w:tc>
        <w:tc>
          <w:tcPr>
            <w:tcW w:w="3249" w:type="pct"/>
            <w:tcBorders>
              <w:top w:val="nil"/>
              <w:left w:val="nil"/>
              <w:bottom w:val="single" w:sz="4" w:space="0" w:color="auto"/>
              <w:right w:val="single" w:sz="4" w:space="0" w:color="auto"/>
            </w:tcBorders>
            <w:shd w:val="clear" w:color="auto" w:fill="auto"/>
            <w:vAlign w:val="center"/>
            <w:hideMark/>
          </w:tcPr>
          <w:p w14:paraId="7110C981" w14:textId="6538C7D1" w:rsidR="00AB7DE3" w:rsidRPr="004F353D" w:rsidRDefault="00AB7DE3" w:rsidP="002D2147">
            <w:pPr>
              <w:rPr>
                <w:sz w:val="22"/>
              </w:rPr>
            </w:pPr>
            <w:r w:rsidRPr="004F353D">
              <w:rPr>
                <w:color w:val="000000"/>
                <w:sz w:val="22"/>
              </w:rPr>
              <w:t xml:space="preserve">Invoice provided by </w:t>
            </w:r>
            <w:r>
              <w:rPr>
                <w:color w:val="000000"/>
                <w:sz w:val="22"/>
              </w:rPr>
              <w:t>CSWR-Texas</w:t>
            </w:r>
            <w:r w:rsidRPr="004F353D">
              <w:rPr>
                <w:color w:val="000000"/>
                <w:sz w:val="22"/>
              </w:rPr>
              <w:t xml:space="preserve">. </w:t>
            </w:r>
          </w:p>
        </w:tc>
      </w:tr>
      <w:tr w:rsidR="00AB7DE3" w:rsidRPr="00A010E7" w14:paraId="3F53C38A" w14:textId="77777777" w:rsidTr="00C81305">
        <w:trPr>
          <w:trHeight w:val="300"/>
        </w:trPr>
        <w:tc>
          <w:tcPr>
            <w:tcW w:w="817" w:type="pct"/>
            <w:tcBorders>
              <w:top w:val="nil"/>
              <w:left w:val="single" w:sz="4" w:space="0" w:color="auto"/>
              <w:bottom w:val="single" w:sz="4" w:space="0" w:color="auto"/>
              <w:right w:val="single" w:sz="4" w:space="0" w:color="auto"/>
            </w:tcBorders>
            <w:shd w:val="clear" w:color="auto" w:fill="auto"/>
            <w:vAlign w:val="center"/>
            <w:hideMark/>
          </w:tcPr>
          <w:p w14:paraId="5FE8BEFF" w14:textId="77777777" w:rsidR="00AB7DE3" w:rsidRPr="004F353D" w:rsidRDefault="00AB7DE3" w:rsidP="002D2147">
            <w:pPr>
              <w:rPr>
                <w:color w:val="000000"/>
                <w:sz w:val="22"/>
              </w:rPr>
            </w:pPr>
            <w:r w:rsidRPr="004F353D">
              <w:rPr>
                <w:color w:val="000000"/>
                <w:sz w:val="22"/>
              </w:rPr>
              <w:t>Repairs</w:t>
            </w:r>
          </w:p>
        </w:tc>
        <w:tc>
          <w:tcPr>
            <w:tcW w:w="934" w:type="pct"/>
            <w:tcBorders>
              <w:top w:val="single" w:sz="4" w:space="0" w:color="auto"/>
              <w:left w:val="single" w:sz="4" w:space="0" w:color="auto"/>
              <w:bottom w:val="single" w:sz="4" w:space="0" w:color="auto"/>
              <w:right w:val="single" w:sz="4" w:space="0" w:color="auto"/>
            </w:tcBorders>
            <w:vAlign w:val="center"/>
          </w:tcPr>
          <w:p w14:paraId="7EF420E3" w14:textId="77777777" w:rsidR="00AB7DE3" w:rsidRPr="004F353D" w:rsidRDefault="00AB7DE3" w:rsidP="002D2147">
            <w:pPr>
              <w:jc w:val="right"/>
              <w:rPr>
                <w:sz w:val="22"/>
              </w:rPr>
            </w:pPr>
            <w:r w:rsidRPr="004F353D">
              <w:rPr>
                <w:sz w:val="22"/>
              </w:rPr>
              <w:t>$</w:t>
            </w:r>
            <w:r>
              <w:rPr>
                <w:sz w:val="22"/>
              </w:rPr>
              <w:t>2,553.00</w:t>
            </w:r>
          </w:p>
        </w:tc>
        <w:tc>
          <w:tcPr>
            <w:tcW w:w="3249" w:type="pct"/>
            <w:tcBorders>
              <w:top w:val="nil"/>
              <w:left w:val="nil"/>
              <w:bottom w:val="single" w:sz="4" w:space="0" w:color="auto"/>
              <w:right w:val="single" w:sz="4" w:space="0" w:color="auto"/>
            </w:tcBorders>
            <w:shd w:val="clear" w:color="auto" w:fill="auto"/>
            <w:vAlign w:val="center"/>
            <w:hideMark/>
          </w:tcPr>
          <w:p w14:paraId="769EA603" w14:textId="4E5684C7" w:rsidR="00AB7DE3" w:rsidRPr="004F353D" w:rsidRDefault="00AB7DE3" w:rsidP="002D2147">
            <w:pPr>
              <w:rPr>
                <w:sz w:val="22"/>
              </w:rPr>
            </w:pPr>
            <w:r w:rsidRPr="004F353D">
              <w:rPr>
                <w:color w:val="000000"/>
                <w:sz w:val="22"/>
              </w:rPr>
              <w:t xml:space="preserve">Invoice provided by </w:t>
            </w:r>
            <w:r>
              <w:rPr>
                <w:color w:val="000000"/>
                <w:sz w:val="22"/>
              </w:rPr>
              <w:t>CSWR-Texas</w:t>
            </w:r>
            <w:r w:rsidRPr="004F353D">
              <w:rPr>
                <w:color w:val="000000"/>
                <w:sz w:val="22"/>
              </w:rPr>
              <w:t>.</w:t>
            </w:r>
          </w:p>
        </w:tc>
      </w:tr>
      <w:tr w:rsidR="00AB7DE3" w:rsidRPr="00A010E7" w14:paraId="277FD747" w14:textId="77777777" w:rsidTr="00C81305">
        <w:trPr>
          <w:trHeight w:val="359"/>
        </w:trPr>
        <w:tc>
          <w:tcPr>
            <w:tcW w:w="817" w:type="pct"/>
            <w:tcBorders>
              <w:top w:val="single" w:sz="4" w:space="0" w:color="auto"/>
              <w:left w:val="single" w:sz="4" w:space="0" w:color="auto"/>
              <w:bottom w:val="single" w:sz="4" w:space="0" w:color="auto"/>
              <w:right w:val="single" w:sz="4" w:space="0" w:color="auto"/>
            </w:tcBorders>
            <w:shd w:val="clear" w:color="auto" w:fill="auto"/>
          </w:tcPr>
          <w:p w14:paraId="0B81681E" w14:textId="683096B0" w:rsidR="00AB7DE3" w:rsidRPr="004F353D" w:rsidRDefault="00AB7DE3" w:rsidP="002D2147">
            <w:pPr>
              <w:rPr>
                <w:color w:val="000000"/>
                <w:sz w:val="22"/>
              </w:rPr>
            </w:pPr>
            <w:r w:rsidRPr="004F353D">
              <w:rPr>
                <w:b/>
                <w:bCs/>
                <w:color w:val="000000"/>
                <w:sz w:val="22"/>
              </w:rPr>
              <w:t>Total</w:t>
            </w:r>
          </w:p>
        </w:tc>
        <w:tc>
          <w:tcPr>
            <w:tcW w:w="934" w:type="pct"/>
            <w:tcBorders>
              <w:top w:val="single" w:sz="4" w:space="0" w:color="auto"/>
              <w:left w:val="single" w:sz="4" w:space="0" w:color="auto"/>
              <w:bottom w:val="single" w:sz="4" w:space="0" w:color="auto"/>
              <w:right w:val="single" w:sz="4" w:space="0" w:color="auto"/>
            </w:tcBorders>
            <w:vAlign w:val="bottom"/>
          </w:tcPr>
          <w:p w14:paraId="7E83F859" w14:textId="77777777" w:rsidR="00AB7DE3" w:rsidRPr="00A132A9" w:rsidRDefault="00AB7DE3" w:rsidP="002D2147">
            <w:pPr>
              <w:jc w:val="right"/>
              <w:rPr>
                <w:sz w:val="22"/>
              </w:rPr>
            </w:pPr>
            <w:r w:rsidRPr="000000D1">
              <w:rPr>
                <w:b/>
                <w:bCs/>
                <w:color w:val="000000"/>
                <w:sz w:val="22"/>
              </w:rPr>
              <w:t>$15,307.08</w:t>
            </w:r>
          </w:p>
        </w:tc>
        <w:tc>
          <w:tcPr>
            <w:tcW w:w="3249" w:type="pct"/>
            <w:tcBorders>
              <w:top w:val="single" w:sz="4" w:space="0" w:color="auto"/>
              <w:left w:val="nil"/>
              <w:bottom w:val="single" w:sz="4" w:space="0" w:color="auto"/>
              <w:right w:val="single" w:sz="4" w:space="0" w:color="auto"/>
            </w:tcBorders>
            <w:shd w:val="clear" w:color="auto" w:fill="auto"/>
            <w:vAlign w:val="bottom"/>
          </w:tcPr>
          <w:p w14:paraId="27DB6A0A" w14:textId="77777777" w:rsidR="00AB7DE3" w:rsidRPr="004F353D" w:rsidRDefault="00AB7DE3" w:rsidP="002D2147">
            <w:pPr>
              <w:rPr>
                <w:sz w:val="22"/>
              </w:rPr>
            </w:pPr>
            <w:r w:rsidRPr="004F353D">
              <w:rPr>
                <w:rFonts w:ascii="Calibri" w:hAnsi="Calibri" w:cs="Calibri"/>
                <w:color w:val="FF0000"/>
                <w:sz w:val="22"/>
              </w:rPr>
              <w:t> </w:t>
            </w:r>
          </w:p>
        </w:tc>
      </w:tr>
    </w:tbl>
    <w:p w14:paraId="78A350AA" w14:textId="77777777" w:rsidR="00A132A9" w:rsidRDefault="00A132A9" w:rsidP="00E26FF8">
      <w:pPr>
        <w:jc w:val="left"/>
        <w:rPr>
          <w:b/>
          <w:bCs/>
          <w:szCs w:val="24"/>
        </w:rPr>
      </w:pPr>
    </w:p>
    <w:p w14:paraId="6177EEB0" w14:textId="1101443B" w:rsidR="00AB7DE3" w:rsidRDefault="00AB7DE3" w:rsidP="00E26FF8">
      <w:pPr>
        <w:jc w:val="left"/>
        <w:rPr>
          <w:b/>
          <w:bCs/>
          <w:szCs w:val="24"/>
        </w:rPr>
      </w:pPr>
      <w:r>
        <w:rPr>
          <w:b/>
          <w:bCs/>
          <w:szCs w:val="24"/>
        </w:rPr>
        <w:t>Sewer</w:t>
      </w:r>
      <w:r w:rsidRPr="007644D8">
        <w:rPr>
          <w:b/>
          <w:bCs/>
          <w:szCs w:val="24"/>
        </w:rPr>
        <w:t xml:space="preserve"> System</w:t>
      </w:r>
    </w:p>
    <w:p w14:paraId="510CC727" w14:textId="77777777" w:rsidR="00AB7DE3" w:rsidRPr="007644D8" w:rsidRDefault="00AB7DE3" w:rsidP="00AB7DE3">
      <w:pPr>
        <w:rPr>
          <w:b/>
          <w:bCs/>
        </w:rPr>
      </w:pPr>
    </w:p>
    <w:tbl>
      <w:tblPr>
        <w:tblW w:w="5000" w:type="pct"/>
        <w:tblLayout w:type="fixed"/>
        <w:tblLook w:val="04A0" w:firstRow="1" w:lastRow="0" w:firstColumn="1" w:lastColumn="0" w:noHBand="0" w:noVBand="1"/>
      </w:tblPr>
      <w:tblGrid>
        <w:gridCol w:w="1470"/>
        <w:gridCol w:w="1860"/>
        <w:gridCol w:w="5665"/>
      </w:tblGrid>
      <w:tr w:rsidR="00AB7DE3" w:rsidRPr="00A010E7" w14:paraId="7ED23C28" w14:textId="77777777" w:rsidTr="00C81305">
        <w:trPr>
          <w:trHeight w:val="915"/>
          <w:tblHeader/>
        </w:trPr>
        <w:tc>
          <w:tcPr>
            <w:tcW w:w="817" w:type="pct"/>
            <w:tcBorders>
              <w:top w:val="nil"/>
              <w:left w:val="nil"/>
              <w:bottom w:val="nil"/>
              <w:right w:val="nil"/>
            </w:tcBorders>
            <w:shd w:val="clear" w:color="auto" w:fill="auto"/>
            <w:noWrap/>
            <w:vAlign w:val="bottom"/>
            <w:hideMark/>
          </w:tcPr>
          <w:p w14:paraId="72410E9D" w14:textId="77777777" w:rsidR="00AB7DE3" w:rsidRPr="004F353D" w:rsidRDefault="00AB7DE3" w:rsidP="002D2147">
            <w:pPr>
              <w:rPr>
                <w:sz w:val="22"/>
              </w:rPr>
            </w:pPr>
          </w:p>
        </w:tc>
        <w:tc>
          <w:tcPr>
            <w:tcW w:w="1034" w:type="pct"/>
            <w:vMerge w:val="restart"/>
            <w:tcBorders>
              <w:top w:val="single" w:sz="4" w:space="0" w:color="auto"/>
              <w:left w:val="single" w:sz="4" w:space="0" w:color="auto"/>
              <w:right w:val="single" w:sz="4" w:space="0" w:color="auto"/>
            </w:tcBorders>
            <w:shd w:val="clear" w:color="auto" w:fill="BFBFBF" w:themeFill="background1" w:themeFillShade="BF"/>
            <w:vAlign w:val="bottom"/>
          </w:tcPr>
          <w:p w14:paraId="44DA8902" w14:textId="77777777" w:rsidR="00AB7DE3" w:rsidRPr="00C81305" w:rsidRDefault="00AB7DE3" w:rsidP="002D2147">
            <w:pPr>
              <w:jc w:val="center"/>
              <w:rPr>
                <w:b/>
                <w:bCs/>
                <w:sz w:val="22"/>
              </w:rPr>
            </w:pPr>
            <w:r w:rsidRPr="00C81305">
              <w:rPr>
                <w:b/>
                <w:bCs/>
                <w:sz w:val="22"/>
              </w:rPr>
              <w:t>Staff’s Recommended Yearly Costs</w:t>
            </w:r>
          </w:p>
        </w:tc>
        <w:tc>
          <w:tcPr>
            <w:tcW w:w="3149" w:type="pct"/>
            <w:vMerge w:val="restart"/>
            <w:tcBorders>
              <w:top w:val="single" w:sz="4" w:space="0" w:color="auto"/>
              <w:left w:val="single" w:sz="4" w:space="0" w:color="auto"/>
              <w:bottom w:val="single" w:sz="4" w:space="0" w:color="000000"/>
              <w:right w:val="single" w:sz="4" w:space="0" w:color="auto"/>
            </w:tcBorders>
            <w:shd w:val="clear" w:color="000000" w:fill="BFBFBF"/>
            <w:vAlign w:val="bottom"/>
            <w:hideMark/>
          </w:tcPr>
          <w:p w14:paraId="0EC6E1D4" w14:textId="77777777" w:rsidR="00AB7DE3" w:rsidRPr="00C81305" w:rsidRDefault="00AB7DE3" w:rsidP="002D2147">
            <w:pPr>
              <w:rPr>
                <w:b/>
                <w:bCs/>
                <w:sz w:val="22"/>
              </w:rPr>
            </w:pPr>
            <w:r w:rsidRPr="00C81305">
              <w:rPr>
                <w:b/>
                <w:bCs/>
                <w:sz w:val="22"/>
              </w:rPr>
              <w:t>Description of Costs (see attached workpapers for details)</w:t>
            </w:r>
          </w:p>
        </w:tc>
      </w:tr>
      <w:tr w:rsidR="00AB7DE3" w:rsidRPr="00A010E7" w14:paraId="3868F64C" w14:textId="77777777" w:rsidTr="00C81305">
        <w:trPr>
          <w:trHeight w:val="70"/>
        </w:trPr>
        <w:tc>
          <w:tcPr>
            <w:tcW w:w="817" w:type="pct"/>
            <w:tcBorders>
              <w:top w:val="nil"/>
              <w:left w:val="nil"/>
              <w:bottom w:val="nil"/>
              <w:right w:val="nil"/>
            </w:tcBorders>
            <w:shd w:val="clear" w:color="auto" w:fill="auto"/>
            <w:noWrap/>
            <w:vAlign w:val="bottom"/>
            <w:hideMark/>
          </w:tcPr>
          <w:p w14:paraId="625AC8EF" w14:textId="77777777" w:rsidR="00AB7DE3" w:rsidRPr="004F353D" w:rsidRDefault="00AB7DE3" w:rsidP="002D2147">
            <w:pPr>
              <w:jc w:val="center"/>
              <w:rPr>
                <w:sz w:val="22"/>
              </w:rPr>
            </w:pPr>
          </w:p>
        </w:tc>
        <w:tc>
          <w:tcPr>
            <w:tcW w:w="1034" w:type="pct"/>
            <w:vMerge/>
            <w:tcBorders>
              <w:left w:val="single" w:sz="4" w:space="0" w:color="auto"/>
              <w:bottom w:val="single" w:sz="4" w:space="0" w:color="auto"/>
              <w:right w:val="single" w:sz="4" w:space="0" w:color="auto"/>
            </w:tcBorders>
            <w:shd w:val="clear" w:color="auto" w:fill="BFBFBF" w:themeFill="background1" w:themeFillShade="BF"/>
            <w:vAlign w:val="center"/>
          </w:tcPr>
          <w:p w14:paraId="4FDB6326" w14:textId="77777777" w:rsidR="00AB7DE3" w:rsidRPr="004F353D" w:rsidRDefault="00AB7DE3" w:rsidP="002D2147">
            <w:pPr>
              <w:rPr>
                <w:sz w:val="22"/>
              </w:rPr>
            </w:pPr>
          </w:p>
        </w:tc>
        <w:tc>
          <w:tcPr>
            <w:tcW w:w="3149" w:type="pct"/>
            <w:vMerge/>
            <w:tcBorders>
              <w:top w:val="single" w:sz="4" w:space="0" w:color="auto"/>
              <w:left w:val="single" w:sz="4" w:space="0" w:color="auto"/>
              <w:bottom w:val="single" w:sz="4" w:space="0" w:color="000000"/>
              <w:right w:val="single" w:sz="4" w:space="0" w:color="auto"/>
            </w:tcBorders>
            <w:vAlign w:val="center"/>
            <w:hideMark/>
          </w:tcPr>
          <w:p w14:paraId="2E7778FB" w14:textId="77777777" w:rsidR="00AB7DE3" w:rsidRPr="004F353D" w:rsidRDefault="00AB7DE3" w:rsidP="002D2147">
            <w:pPr>
              <w:rPr>
                <w:sz w:val="22"/>
              </w:rPr>
            </w:pPr>
          </w:p>
        </w:tc>
      </w:tr>
      <w:tr w:rsidR="00AB7DE3" w:rsidRPr="00A010E7" w14:paraId="5B8F5CD4" w14:textId="77777777" w:rsidTr="00C81305">
        <w:trPr>
          <w:trHeight w:val="300"/>
        </w:trPr>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BD9588" w14:textId="77777777" w:rsidR="00AB7DE3" w:rsidRPr="004F353D" w:rsidRDefault="00AB7DE3" w:rsidP="002D2147">
            <w:pPr>
              <w:rPr>
                <w:color w:val="000000"/>
                <w:sz w:val="22"/>
              </w:rPr>
            </w:pPr>
            <w:r w:rsidRPr="004F353D">
              <w:rPr>
                <w:color w:val="000000"/>
                <w:sz w:val="22"/>
              </w:rPr>
              <w:t>General Operations &amp; Maintenance</w:t>
            </w:r>
          </w:p>
        </w:tc>
        <w:tc>
          <w:tcPr>
            <w:tcW w:w="1034" w:type="pct"/>
            <w:tcBorders>
              <w:top w:val="single" w:sz="4" w:space="0" w:color="auto"/>
              <w:left w:val="single" w:sz="4" w:space="0" w:color="auto"/>
              <w:bottom w:val="single" w:sz="4" w:space="0" w:color="auto"/>
              <w:right w:val="single" w:sz="4" w:space="0" w:color="auto"/>
            </w:tcBorders>
            <w:vAlign w:val="center"/>
          </w:tcPr>
          <w:p w14:paraId="5D1E46AA" w14:textId="77777777" w:rsidR="00AB7DE3" w:rsidRPr="004F353D" w:rsidRDefault="00AB7DE3" w:rsidP="002D2147">
            <w:pPr>
              <w:jc w:val="right"/>
              <w:rPr>
                <w:sz w:val="22"/>
              </w:rPr>
            </w:pPr>
            <w:r w:rsidRPr="004F353D">
              <w:rPr>
                <w:sz w:val="22"/>
              </w:rPr>
              <w:t>$</w:t>
            </w:r>
            <w:r>
              <w:rPr>
                <w:sz w:val="22"/>
              </w:rPr>
              <w:t>9,000.00</w:t>
            </w:r>
          </w:p>
        </w:tc>
        <w:tc>
          <w:tcPr>
            <w:tcW w:w="3149" w:type="pct"/>
            <w:tcBorders>
              <w:top w:val="nil"/>
              <w:left w:val="nil"/>
              <w:bottom w:val="single" w:sz="4" w:space="0" w:color="auto"/>
              <w:right w:val="single" w:sz="4" w:space="0" w:color="auto"/>
            </w:tcBorders>
            <w:shd w:val="clear" w:color="auto" w:fill="auto"/>
            <w:vAlign w:val="center"/>
            <w:hideMark/>
          </w:tcPr>
          <w:p w14:paraId="6D89D3CD" w14:textId="2B11DA52" w:rsidR="00AB7DE3" w:rsidRPr="004F353D" w:rsidRDefault="00AB7DE3" w:rsidP="002D2147">
            <w:pPr>
              <w:rPr>
                <w:sz w:val="22"/>
              </w:rPr>
            </w:pPr>
            <w:r w:rsidRPr="004F353D">
              <w:rPr>
                <w:color w:val="000000"/>
                <w:sz w:val="22"/>
              </w:rPr>
              <w:t xml:space="preserve">Invoices provided by </w:t>
            </w:r>
            <w:r>
              <w:rPr>
                <w:color w:val="000000"/>
                <w:sz w:val="22"/>
              </w:rPr>
              <w:t>CSWR-Texas</w:t>
            </w:r>
            <w:r w:rsidRPr="004F353D">
              <w:rPr>
                <w:color w:val="000000"/>
                <w:sz w:val="22"/>
              </w:rPr>
              <w:t xml:space="preserve">. </w:t>
            </w:r>
          </w:p>
        </w:tc>
      </w:tr>
      <w:tr w:rsidR="00AB7DE3" w:rsidRPr="00A010E7" w14:paraId="1B6C5E32" w14:textId="77777777" w:rsidTr="00C81305">
        <w:trPr>
          <w:trHeight w:val="260"/>
        </w:trPr>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90683" w14:textId="77777777" w:rsidR="00AB7DE3" w:rsidRPr="004F353D" w:rsidRDefault="00AB7DE3" w:rsidP="002D2147">
            <w:pPr>
              <w:rPr>
                <w:color w:val="000000"/>
                <w:sz w:val="22"/>
              </w:rPr>
            </w:pPr>
            <w:r w:rsidRPr="004F353D">
              <w:rPr>
                <w:color w:val="000000"/>
                <w:sz w:val="22"/>
              </w:rPr>
              <w:t xml:space="preserve">Laboratory Fees                </w:t>
            </w:r>
          </w:p>
        </w:tc>
        <w:tc>
          <w:tcPr>
            <w:tcW w:w="1034" w:type="pct"/>
            <w:tcBorders>
              <w:top w:val="single" w:sz="4" w:space="0" w:color="auto"/>
              <w:left w:val="single" w:sz="4" w:space="0" w:color="auto"/>
              <w:bottom w:val="single" w:sz="4" w:space="0" w:color="auto"/>
              <w:right w:val="single" w:sz="4" w:space="0" w:color="auto"/>
            </w:tcBorders>
            <w:vAlign w:val="center"/>
          </w:tcPr>
          <w:p w14:paraId="77AB8CBA" w14:textId="77777777" w:rsidR="00AB7DE3" w:rsidRPr="004F353D" w:rsidRDefault="00AB7DE3" w:rsidP="002D2147">
            <w:pPr>
              <w:jc w:val="right"/>
              <w:rPr>
                <w:sz w:val="22"/>
              </w:rPr>
            </w:pPr>
            <w:r w:rsidRPr="004F353D">
              <w:rPr>
                <w:sz w:val="22"/>
              </w:rPr>
              <w:t>$</w:t>
            </w:r>
            <w:r>
              <w:rPr>
                <w:sz w:val="22"/>
              </w:rPr>
              <w:t>0.00</w:t>
            </w:r>
          </w:p>
        </w:tc>
        <w:tc>
          <w:tcPr>
            <w:tcW w:w="3149" w:type="pct"/>
            <w:tcBorders>
              <w:top w:val="single" w:sz="4" w:space="0" w:color="auto"/>
              <w:left w:val="nil"/>
              <w:bottom w:val="single" w:sz="4" w:space="0" w:color="auto"/>
              <w:right w:val="single" w:sz="4" w:space="0" w:color="auto"/>
            </w:tcBorders>
            <w:shd w:val="clear" w:color="auto" w:fill="auto"/>
            <w:vAlign w:val="center"/>
            <w:hideMark/>
          </w:tcPr>
          <w:p w14:paraId="0B42C42B" w14:textId="77777777" w:rsidR="00AB7DE3" w:rsidRPr="004F353D" w:rsidRDefault="00AB7DE3" w:rsidP="002D2147">
            <w:pPr>
              <w:rPr>
                <w:sz w:val="22"/>
              </w:rPr>
            </w:pPr>
            <w:r>
              <w:rPr>
                <w:color w:val="000000"/>
                <w:sz w:val="22"/>
              </w:rPr>
              <w:t>No</w:t>
            </w:r>
            <w:r w:rsidRPr="004F353D">
              <w:rPr>
                <w:color w:val="000000"/>
                <w:sz w:val="22"/>
              </w:rPr>
              <w:t xml:space="preserve"> documentation provided by </w:t>
            </w:r>
            <w:r>
              <w:rPr>
                <w:color w:val="000000"/>
                <w:sz w:val="22"/>
              </w:rPr>
              <w:t>CSWR-Texas</w:t>
            </w:r>
            <w:r w:rsidRPr="004F353D">
              <w:rPr>
                <w:color w:val="000000"/>
                <w:sz w:val="22"/>
              </w:rPr>
              <w:t>.</w:t>
            </w:r>
          </w:p>
        </w:tc>
      </w:tr>
      <w:tr w:rsidR="00AB7DE3" w:rsidRPr="00A010E7" w14:paraId="65FB5033" w14:textId="77777777" w:rsidTr="00C81305">
        <w:trPr>
          <w:trHeight w:val="300"/>
        </w:trPr>
        <w:tc>
          <w:tcPr>
            <w:tcW w:w="817" w:type="pct"/>
            <w:tcBorders>
              <w:top w:val="nil"/>
              <w:left w:val="single" w:sz="4" w:space="0" w:color="auto"/>
              <w:bottom w:val="single" w:sz="4" w:space="0" w:color="auto"/>
              <w:right w:val="single" w:sz="4" w:space="0" w:color="auto"/>
            </w:tcBorders>
            <w:shd w:val="clear" w:color="auto" w:fill="auto"/>
            <w:vAlign w:val="center"/>
            <w:hideMark/>
          </w:tcPr>
          <w:p w14:paraId="27665CF6" w14:textId="77777777" w:rsidR="00AB7DE3" w:rsidRPr="004F353D" w:rsidRDefault="00AB7DE3" w:rsidP="002D2147">
            <w:pPr>
              <w:rPr>
                <w:color w:val="000000"/>
                <w:sz w:val="22"/>
              </w:rPr>
            </w:pPr>
            <w:r w:rsidRPr="004F353D">
              <w:rPr>
                <w:color w:val="000000"/>
                <w:sz w:val="22"/>
              </w:rPr>
              <w:t xml:space="preserve">Chlorine Expenses                           </w:t>
            </w:r>
          </w:p>
        </w:tc>
        <w:tc>
          <w:tcPr>
            <w:tcW w:w="1034" w:type="pct"/>
            <w:tcBorders>
              <w:top w:val="single" w:sz="4" w:space="0" w:color="auto"/>
              <w:left w:val="single" w:sz="4" w:space="0" w:color="auto"/>
              <w:bottom w:val="single" w:sz="4" w:space="0" w:color="auto"/>
              <w:right w:val="single" w:sz="4" w:space="0" w:color="auto"/>
            </w:tcBorders>
            <w:vAlign w:val="center"/>
          </w:tcPr>
          <w:p w14:paraId="1D091712" w14:textId="77777777" w:rsidR="00AB7DE3" w:rsidRPr="004F353D" w:rsidRDefault="00AB7DE3" w:rsidP="002D2147">
            <w:pPr>
              <w:jc w:val="right"/>
              <w:rPr>
                <w:sz w:val="22"/>
              </w:rPr>
            </w:pPr>
            <w:r w:rsidRPr="004F353D">
              <w:rPr>
                <w:sz w:val="22"/>
              </w:rPr>
              <w:t>$</w:t>
            </w:r>
            <w:r>
              <w:rPr>
                <w:sz w:val="22"/>
              </w:rPr>
              <w:t>0.00</w:t>
            </w:r>
          </w:p>
        </w:tc>
        <w:tc>
          <w:tcPr>
            <w:tcW w:w="3149" w:type="pct"/>
            <w:tcBorders>
              <w:top w:val="nil"/>
              <w:left w:val="nil"/>
              <w:bottom w:val="single" w:sz="4" w:space="0" w:color="auto"/>
              <w:right w:val="single" w:sz="4" w:space="0" w:color="auto"/>
            </w:tcBorders>
            <w:shd w:val="clear" w:color="auto" w:fill="auto"/>
            <w:vAlign w:val="center"/>
            <w:hideMark/>
          </w:tcPr>
          <w:p w14:paraId="00C6CEE1" w14:textId="77777777" w:rsidR="00AB7DE3" w:rsidRPr="004F353D" w:rsidRDefault="00AB7DE3" w:rsidP="002D2147">
            <w:pPr>
              <w:rPr>
                <w:sz w:val="22"/>
              </w:rPr>
            </w:pPr>
            <w:r>
              <w:rPr>
                <w:color w:val="000000"/>
                <w:sz w:val="22"/>
              </w:rPr>
              <w:t>No</w:t>
            </w:r>
            <w:r w:rsidRPr="004F353D">
              <w:rPr>
                <w:color w:val="000000"/>
                <w:sz w:val="22"/>
              </w:rPr>
              <w:t xml:space="preserve"> documentation provided by </w:t>
            </w:r>
            <w:r>
              <w:rPr>
                <w:color w:val="000000"/>
                <w:sz w:val="22"/>
              </w:rPr>
              <w:t>CSWR-Texas</w:t>
            </w:r>
            <w:r w:rsidRPr="004F353D">
              <w:rPr>
                <w:color w:val="000000"/>
                <w:sz w:val="22"/>
              </w:rPr>
              <w:t>.</w:t>
            </w:r>
          </w:p>
        </w:tc>
      </w:tr>
      <w:tr w:rsidR="00AB7DE3" w:rsidRPr="00A010E7" w14:paraId="79D4F869" w14:textId="77777777" w:rsidTr="00C81305">
        <w:trPr>
          <w:trHeight w:val="600"/>
        </w:trPr>
        <w:tc>
          <w:tcPr>
            <w:tcW w:w="817" w:type="pct"/>
            <w:tcBorders>
              <w:top w:val="nil"/>
              <w:left w:val="single" w:sz="4" w:space="0" w:color="auto"/>
              <w:bottom w:val="single" w:sz="4" w:space="0" w:color="auto"/>
              <w:right w:val="single" w:sz="4" w:space="0" w:color="auto"/>
            </w:tcBorders>
            <w:shd w:val="clear" w:color="auto" w:fill="auto"/>
            <w:vAlign w:val="center"/>
            <w:hideMark/>
          </w:tcPr>
          <w:p w14:paraId="754092C9" w14:textId="77777777" w:rsidR="00AB7DE3" w:rsidRPr="004F353D" w:rsidRDefault="00AB7DE3" w:rsidP="002D2147">
            <w:pPr>
              <w:rPr>
                <w:color w:val="000000"/>
                <w:sz w:val="22"/>
              </w:rPr>
            </w:pPr>
            <w:r w:rsidRPr="004F353D">
              <w:rPr>
                <w:color w:val="000000"/>
                <w:sz w:val="22"/>
              </w:rPr>
              <w:t>Electric Utility Bills</w:t>
            </w:r>
          </w:p>
        </w:tc>
        <w:tc>
          <w:tcPr>
            <w:tcW w:w="1034" w:type="pct"/>
            <w:tcBorders>
              <w:top w:val="single" w:sz="4" w:space="0" w:color="auto"/>
              <w:left w:val="single" w:sz="4" w:space="0" w:color="auto"/>
              <w:bottom w:val="single" w:sz="4" w:space="0" w:color="auto"/>
              <w:right w:val="single" w:sz="4" w:space="0" w:color="auto"/>
            </w:tcBorders>
            <w:vAlign w:val="center"/>
          </w:tcPr>
          <w:p w14:paraId="494C21A7" w14:textId="77777777" w:rsidR="00AB7DE3" w:rsidRPr="004F353D" w:rsidRDefault="00AB7DE3" w:rsidP="002D2147">
            <w:pPr>
              <w:jc w:val="right"/>
              <w:rPr>
                <w:sz w:val="22"/>
              </w:rPr>
            </w:pPr>
            <w:r w:rsidRPr="004F353D">
              <w:rPr>
                <w:sz w:val="22"/>
              </w:rPr>
              <w:t>$</w:t>
            </w:r>
            <w:r>
              <w:rPr>
                <w:sz w:val="22"/>
              </w:rPr>
              <w:t>0.00</w:t>
            </w:r>
          </w:p>
        </w:tc>
        <w:tc>
          <w:tcPr>
            <w:tcW w:w="3149" w:type="pct"/>
            <w:tcBorders>
              <w:top w:val="nil"/>
              <w:left w:val="nil"/>
              <w:bottom w:val="single" w:sz="4" w:space="0" w:color="auto"/>
              <w:right w:val="single" w:sz="4" w:space="0" w:color="auto"/>
            </w:tcBorders>
            <w:shd w:val="clear" w:color="auto" w:fill="auto"/>
            <w:vAlign w:val="center"/>
            <w:hideMark/>
          </w:tcPr>
          <w:p w14:paraId="08B3EE98" w14:textId="77777777" w:rsidR="00AB7DE3" w:rsidRPr="004F353D" w:rsidRDefault="00AB7DE3" w:rsidP="002D2147">
            <w:pPr>
              <w:rPr>
                <w:sz w:val="22"/>
              </w:rPr>
            </w:pPr>
            <w:r w:rsidRPr="00CF3328">
              <w:rPr>
                <w:color w:val="000000"/>
                <w:sz w:val="22"/>
              </w:rPr>
              <w:t>Assigned all costs to water based on electricity being needed for water system.</w:t>
            </w:r>
          </w:p>
        </w:tc>
      </w:tr>
      <w:tr w:rsidR="00AB7DE3" w:rsidRPr="00A010E7" w14:paraId="7C445EC8" w14:textId="77777777" w:rsidTr="00C81305">
        <w:trPr>
          <w:trHeight w:val="300"/>
        </w:trPr>
        <w:tc>
          <w:tcPr>
            <w:tcW w:w="817" w:type="pct"/>
            <w:tcBorders>
              <w:top w:val="nil"/>
              <w:left w:val="single" w:sz="4" w:space="0" w:color="auto"/>
              <w:bottom w:val="single" w:sz="4" w:space="0" w:color="auto"/>
              <w:right w:val="single" w:sz="4" w:space="0" w:color="auto"/>
            </w:tcBorders>
            <w:shd w:val="clear" w:color="auto" w:fill="auto"/>
            <w:vAlign w:val="center"/>
            <w:hideMark/>
          </w:tcPr>
          <w:p w14:paraId="7A4AC103" w14:textId="77777777" w:rsidR="00AB7DE3" w:rsidRPr="004F353D" w:rsidRDefault="00AB7DE3" w:rsidP="002D2147">
            <w:pPr>
              <w:rPr>
                <w:color w:val="000000"/>
                <w:sz w:val="22"/>
              </w:rPr>
            </w:pPr>
            <w:r w:rsidRPr="004F353D">
              <w:rPr>
                <w:color w:val="000000"/>
                <w:sz w:val="22"/>
              </w:rPr>
              <w:t>Repairs</w:t>
            </w:r>
          </w:p>
        </w:tc>
        <w:tc>
          <w:tcPr>
            <w:tcW w:w="1034" w:type="pct"/>
            <w:tcBorders>
              <w:top w:val="single" w:sz="4" w:space="0" w:color="auto"/>
              <w:left w:val="single" w:sz="4" w:space="0" w:color="auto"/>
              <w:bottom w:val="single" w:sz="4" w:space="0" w:color="auto"/>
              <w:right w:val="single" w:sz="4" w:space="0" w:color="auto"/>
            </w:tcBorders>
            <w:vAlign w:val="center"/>
          </w:tcPr>
          <w:p w14:paraId="20DB8D72" w14:textId="51F42C0F" w:rsidR="00AB7DE3" w:rsidRPr="004F353D" w:rsidRDefault="00AB7DE3" w:rsidP="002D2147">
            <w:pPr>
              <w:jc w:val="right"/>
              <w:rPr>
                <w:sz w:val="22"/>
              </w:rPr>
            </w:pPr>
            <w:r w:rsidRPr="004F353D">
              <w:rPr>
                <w:sz w:val="22"/>
              </w:rPr>
              <w:t>$</w:t>
            </w:r>
            <w:r>
              <w:rPr>
                <w:sz w:val="22"/>
              </w:rPr>
              <w:t>1</w:t>
            </w:r>
            <w:r w:rsidR="00217066">
              <w:rPr>
                <w:sz w:val="22"/>
              </w:rPr>
              <w:t>0,22</w:t>
            </w:r>
            <w:r>
              <w:rPr>
                <w:sz w:val="22"/>
              </w:rPr>
              <w:t>0.00</w:t>
            </w:r>
          </w:p>
        </w:tc>
        <w:tc>
          <w:tcPr>
            <w:tcW w:w="3149" w:type="pct"/>
            <w:tcBorders>
              <w:top w:val="nil"/>
              <w:left w:val="nil"/>
              <w:bottom w:val="single" w:sz="4" w:space="0" w:color="auto"/>
              <w:right w:val="single" w:sz="4" w:space="0" w:color="auto"/>
            </w:tcBorders>
            <w:shd w:val="clear" w:color="auto" w:fill="auto"/>
            <w:vAlign w:val="center"/>
            <w:hideMark/>
          </w:tcPr>
          <w:p w14:paraId="21CE23E9" w14:textId="66F14358" w:rsidR="00AB7DE3" w:rsidRPr="004F353D" w:rsidRDefault="00AB7DE3" w:rsidP="002D2147">
            <w:pPr>
              <w:rPr>
                <w:sz w:val="22"/>
              </w:rPr>
            </w:pPr>
            <w:r w:rsidRPr="004F353D">
              <w:rPr>
                <w:color w:val="000000"/>
                <w:sz w:val="22"/>
              </w:rPr>
              <w:t xml:space="preserve">Invoice provided by </w:t>
            </w:r>
            <w:r>
              <w:rPr>
                <w:color w:val="000000"/>
                <w:sz w:val="22"/>
              </w:rPr>
              <w:t>CSWR-Texas</w:t>
            </w:r>
            <w:r w:rsidRPr="004F353D">
              <w:rPr>
                <w:color w:val="000000"/>
                <w:sz w:val="22"/>
              </w:rPr>
              <w:t xml:space="preserve">. </w:t>
            </w:r>
          </w:p>
        </w:tc>
      </w:tr>
      <w:tr w:rsidR="00AB7DE3" w:rsidRPr="00A010E7" w14:paraId="7310367F" w14:textId="77777777" w:rsidTr="00C81305">
        <w:trPr>
          <w:trHeight w:val="359"/>
        </w:trPr>
        <w:tc>
          <w:tcPr>
            <w:tcW w:w="817" w:type="pct"/>
            <w:tcBorders>
              <w:top w:val="single" w:sz="4" w:space="0" w:color="auto"/>
              <w:left w:val="single" w:sz="4" w:space="0" w:color="auto"/>
              <w:bottom w:val="single" w:sz="4" w:space="0" w:color="auto"/>
              <w:right w:val="single" w:sz="4" w:space="0" w:color="auto"/>
            </w:tcBorders>
            <w:shd w:val="clear" w:color="auto" w:fill="auto"/>
          </w:tcPr>
          <w:p w14:paraId="65F52740" w14:textId="50B172B7" w:rsidR="00AB7DE3" w:rsidRPr="004F353D" w:rsidRDefault="00AB7DE3" w:rsidP="002D2147">
            <w:pPr>
              <w:rPr>
                <w:color w:val="000000"/>
                <w:sz w:val="22"/>
              </w:rPr>
            </w:pPr>
            <w:r w:rsidRPr="004F353D">
              <w:rPr>
                <w:b/>
                <w:bCs/>
                <w:color w:val="000000"/>
                <w:sz w:val="22"/>
              </w:rPr>
              <w:t>Total</w:t>
            </w:r>
          </w:p>
        </w:tc>
        <w:tc>
          <w:tcPr>
            <w:tcW w:w="1034" w:type="pct"/>
            <w:tcBorders>
              <w:top w:val="single" w:sz="4" w:space="0" w:color="auto"/>
              <w:left w:val="single" w:sz="4" w:space="0" w:color="auto"/>
              <w:bottom w:val="single" w:sz="4" w:space="0" w:color="auto"/>
              <w:right w:val="single" w:sz="4" w:space="0" w:color="auto"/>
            </w:tcBorders>
            <w:vAlign w:val="bottom"/>
          </w:tcPr>
          <w:p w14:paraId="08EFA130" w14:textId="461331EB" w:rsidR="00AB7DE3" w:rsidRPr="00A132A9" w:rsidRDefault="00AB7DE3" w:rsidP="002D2147">
            <w:pPr>
              <w:jc w:val="right"/>
              <w:rPr>
                <w:sz w:val="22"/>
              </w:rPr>
            </w:pPr>
            <w:r w:rsidRPr="000000D1">
              <w:rPr>
                <w:b/>
                <w:bCs/>
                <w:color w:val="000000"/>
                <w:sz w:val="22"/>
              </w:rPr>
              <w:t>$</w:t>
            </w:r>
            <w:r w:rsidR="00217066" w:rsidRPr="000000D1">
              <w:rPr>
                <w:b/>
                <w:bCs/>
                <w:color w:val="000000"/>
                <w:sz w:val="22"/>
              </w:rPr>
              <w:t>19,22</w:t>
            </w:r>
            <w:r w:rsidRPr="000000D1">
              <w:rPr>
                <w:b/>
                <w:bCs/>
                <w:color w:val="000000"/>
                <w:sz w:val="22"/>
              </w:rPr>
              <w:t>0.00</w:t>
            </w:r>
          </w:p>
        </w:tc>
        <w:tc>
          <w:tcPr>
            <w:tcW w:w="3149" w:type="pct"/>
            <w:tcBorders>
              <w:top w:val="single" w:sz="4" w:space="0" w:color="auto"/>
              <w:left w:val="nil"/>
              <w:bottom w:val="single" w:sz="4" w:space="0" w:color="auto"/>
              <w:right w:val="single" w:sz="4" w:space="0" w:color="auto"/>
            </w:tcBorders>
            <w:shd w:val="clear" w:color="auto" w:fill="auto"/>
            <w:vAlign w:val="bottom"/>
          </w:tcPr>
          <w:p w14:paraId="6C07673B" w14:textId="77777777" w:rsidR="00AB7DE3" w:rsidRPr="004F353D" w:rsidRDefault="00AB7DE3" w:rsidP="002D2147">
            <w:pPr>
              <w:rPr>
                <w:sz w:val="22"/>
              </w:rPr>
            </w:pPr>
            <w:r w:rsidRPr="004F353D">
              <w:rPr>
                <w:rFonts w:ascii="Calibri" w:hAnsi="Calibri" w:cs="Calibri"/>
                <w:color w:val="FF0000"/>
                <w:sz w:val="22"/>
              </w:rPr>
              <w:t> </w:t>
            </w:r>
          </w:p>
        </w:tc>
      </w:tr>
    </w:tbl>
    <w:p w14:paraId="50078DE9" w14:textId="77777777" w:rsidR="00AB7DE3" w:rsidRDefault="00AB7DE3" w:rsidP="00AB7DE3">
      <w:pPr>
        <w:rPr>
          <w:szCs w:val="24"/>
        </w:rPr>
      </w:pPr>
    </w:p>
    <w:p w14:paraId="34941B33" w14:textId="2B4129BA" w:rsidR="00C81305" w:rsidRDefault="00217066" w:rsidP="00AB7DE3">
      <w:pPr>
        <w:spacing w:after="240"/>
      </w:pPr>
      <w:r>
        <w:t>Some of the invoices submitted by CSWR</w:t>
      </w:r>
      <w:r w:rsidR="00A132A9">
        <w:t>-Texas</w:t>
      </w:r>
      <w:r>
        <w:t xml:space="preserve"> were one</w:t>
      </w:r>
      <w:r w:rsidR="00365F04">
        <w:t>-</w:t>
      </w:r>
      <w:r>
        <w:t>time only expenses.</w:t>
      </w:r>
      <w:r w:rsidR="00C81305">
        <w:t xml:space="preserve"> These expenses included a charge for septic overflowing</w:t>
      </w:r>
      <w:r w:rsidR="0038165C">
        <w:t>,</w:t>
      </w:r>
      <w:r w:rsidR="00042230">
        <w:rPr>
          <w:rStyle w:val="FootnoteReference"/>
        </w:rPr>
        <w:footnoteReference w:id="6"/>
      </w:r>
      <w:r w:rsidR="00C81305">
        <w:t xml:space="preserve"> </w:t>
      </w:r>
      <w:r w:rsidR="00A132A9">
        <w:t xml:space="preserve">printing of </w:t>
      </w:r>
      <w:r w:rsidR="00C81305">
        <w:t>CSWR</w:t>
      </w:r>
      <w:r w:rsidR="00A132A9">
        <w:t>-Texas</w:t>
      </w:r>
      <w:r w:rsidR="00C81305">
        <w:t xml:space="preserve"> signs</w:t>
      </w:r>
      <w:r w:rsidR="0038165C">
        <w:t>,</w:t>
      </w:r>
      <w:r w:rsidR="00042230">
        <w:rPr>
          <w:rStyle w:val="FootnoteReference"/>
        </w:rPr>
        <w:footnoteReference w:id="7"/>
      </w:r>
      <w:r w:rsidR="00C81305">
        <w:t xml:space="preserve"> and packaging including freight</w:t>
      </w:r>
      <w:r w:rsidR="0038165C">
        <w:t>.</w:t>
      </w:r>
      <w:r w:rsidR="00042230">
        <w:rPr>
          <w:rStyle w:val="FootnoteReference"/>
        </w:rPr>
        <w:footnoteReference w:id="8"/>
      </w:r>
      <w:r>
        <w:t xml:space="preserve"> </w:t>
      </w:r>
      <w:r w:rsidR="00C81305">
        <w:t xml:space="preserve">I recommend these charges be included in a surcharge to be </w:t>
      </w:r>
      <w:r w:rsidR="0081019C">
        <w:t>collected</w:t>
      </w:r>
      <w:r w:rsidR="00C81305">
        <w:t xml:space="preserve"> for </w:t>
      </w:r>
      <w:r w:rsidR="00A132A9">
        <w:t xml:space="preserve">four </w:t>
      </w:r>
      <w:r w:rsidR="00C81305">
        <w:t>months</w:t>
      </w:r>
      <w:r w:rsidR="005B5574">
        <w:t>. These expenses are</w:t>
      </w:r>
      <w:r w:rsidR="00C81305">
        <w:t xml:space="preserve"> shown in the table below</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1311"/>
        <w:gridCol w:w="2089"/>
        <w:gridCol w:w="1242"/>
        <w:gridCol w:w="1149"/>
      </w:tblGrid>
      <w:tr w:rsidR="00C81305" w:rsidRPr="00C81305" w14:paraId="364FF8F2" w14:textId="77777777" w:rsidTr="00C81305">
        <w:trPr>
          <w:trHeight w:val="315"/>
        </w:trPr>
        <w:tc>
          <w:tcPr>
            <w:tcW w:w="5000" w:type="pct"/>
            <w:gridSpan w:val="5"/>
            <w:shd w:val="clear" w:color="auto" w:fill="auto"/>
            <w:noWrap/>
            <w:vAlign w:val="bottom"/>
            <w:hideMark/>
          </w:tcPr>
          <w:p w14:paraId="783C2478" w14:textId="7117CAF2" w:rsidR="00C81305" w:rsidRPr="00C81305" w:rsidRDefault="00C81305" w:rsidP="00C81305">
            <w:pPr>
              <w:jc w:val="left"/>
              <w:rPr>
                <w:b/>
                <w:bCs/>
                <w:color w:val="000000"/>
                <w:szCs w:val="24"/>
              </w:rPr>
            </w:pPr>
            <w:r w:rsidRPr="00C81305">
              <w:rPr>
                <w:szCs w:val="24"/>
              </w:rPr>
              <w:t>Each of the following is a one-time only fee.</w:t>
            </w:r>
          </w:p>
        </w:tc>
      </w:tr>
      <w:tr w:rsidR="00C81305" w:rsidRPr="00C81305" w14:paraId="6F038CCD" w14:textId="77777777" w:rsidTr="00C81305">
        <w:trPr>
          <w:trHeight w:val="315"/>
        </w:trPr>
        <w:tc>
          <w:tcPr>
            <w:tcW w:w="1779" w:type="pct"/>
            <w:shd w:val="clear" w:color="auto" w:fill="BFBFBF" w:themeFill="background1" w:themeFillShade="BF"/>
            <w:vAlign w:val="bottom"/>
            <w:hideMark/>
          </w:tcPr>
          <w:p w14:paraId="350E1E60" w14:textId="77777777" w:rsidR="00C81305" w:rsidRPr="00C81305" w:rsidRDefault="00C81305" w:rsidP="00C81305">
            <w:pPr>
              <w:jc w:val="left"/>
              <w:rPr>
                <w:b/>
                <w:bCs/>
                <w:szCs w:val="24"/>
              </w:rPr>
            </w:pPr>
            <w:r w:rsidRPr="00C81305">
              <w:rPr>
                <w:b/>
                <w:bCs/>
                <w:szCs w:val="24"/>
              </w:rPr>
              <w:t>Invoice From</w:t>
            </w:r>
          </w:p>
        </w:tc>
        <w:tc>
          <w:tcPr>
            <w:tcW w:w="729" w:type="pct"/>
            <w:shd w:val="clear" w:color="auto" w:fill="BFBFBF" w:themeFill="background1" w:themeFillShade="BF"/>
            <w:vAlign w:val="bottom"/>
            <w:hideMark/>
          </w:tcPr>
          <w:p w14:paraId="79B02722" w14:textId="77777777" w:rsidR="00C81305" w:rsidRPr="00C81305" w:rsidRDefault="00C81305" w:rsidP="00C81305">
            <w:pPr>
              <w:jc w:val="center"/>
              <w:rPr>
                <w:b/>
                <w:bCs/>
                <w:szCs w:val="24"/>
              </w:rPr>
            </w:pPr>
            <w:r w:rsidRPr="00C81305">
              <w:rPr>
                <w:b/>
                <w:bCs/>
                <w:szCs w:val="24"/>
              </w:rPr>
              <w:t>Date</w:t>
            </w:r>
          </w:p>
        </w:tc>
        <w:tc>
          <w:tcPr>
            <w:tcW w:w="1162" w:type="pct"/>
            <w:shd w:val="clear" w:color="auto" w:fill="BFBFBF" w:themeFill="background1" w:themeFillShade="BF"/>
            <w:vAlign w:val="bottom"/>
            <w:hideMark/>
          </w:tcPr>
          <w:p w14:paraId="75DA3085" w14:textId="77777777" w:rsidR="00C81305" w:rsidRPr="00C81305" w:rsidRDefault="00C81305" w:rsidP="00C81305">
            <w:pPr>
              <w:jc w:val="left"/>
              <w:rPr>
                <w:b/>
                <w:bCs/>
                <w:szCs w:val="24"/>
              </w:rPr>
            </w:pPr>
            <w:r w:rsidRPr="00C81305">
              <w:rPr>
                <w:b/>
                <w:bCs/>
                <w:szCs w:val="24"/>
              </w:rPr>
              <w:t>Description</w:t>
            </w:r>
          </w:p>
        </w:tc>
        <w:tc>
          <w:tcPr>
            <w:tcW w:w="691" w:type="pct"/>
            <w:shd w:val="clear" w:color="auto" w:fill="BFBFBF" w:themeFill="background1" w:themeFillShade="BF"/>
            <w:noWrap/>
            <w:vAlign w:val="bottom"/>
            <w:hideMark/>
          </w:tcPr>
          <w:p w14:paraId="26D333A2" w14:textId="6D0D39C3" w:rsidR="00C81305" w:rsidRPr="00C81305" w:rsidRDefault="00C81305" w:rsidP="00C81305">
            <w:pPr>
              <w:jc w:val="center"/>
              <w:rPr>
                <w:b/>
                <w:bCs/>
                <w:szCs w:val="24"/>
              </w:rPr>
            </w:pPr>
            <w:r w:rsidRPr="00C81305">
              <w:rPr>
                <w:b/>
                <w:bCs/>
                <w:color w:val="000000"/>
                <w:szCs w:val="24"/>
              </w:rPr>
              <w:t>Water</w:t>
            </w:r>
          </w:p>
        </w:tc>
        <w:tc>
          <w:tcPr>
            <w:tcW w:w="639" w:type="pct"/>
            <w:shd w:val="clear" w:color="auto" w:fill="BFBFBF" w:themeFill="background1" w:themeFillShade="BF"/>
            <w:noWrap/>
            <w:vAlign w:val="bottom"/>
            <w:hideMark/>
          </w:tcPr>
          <w:p w14:paraId="0F70A200" w14:textId="260A3C7D" w:rsidR="00C81305" w:rsidRPr="00C81305" w:rsidRDefault="00C81305" w:rsidP="00C81305">
            <w:pPr>
              <w:jc w:val="center"/>
              <w:rPr>
                <w:b/>
                <w:bCs/>
                <w:szCs w:val="24"/>
              </w:rPr>
            </w:pPr>
            <w:r w:rsidRPr="00C81305">
              <w:rPr>
                <w:b/>
                <w:bCs/>
                <w:color w:val="000000"/>
                <w:szCs w:val="24"/>
              </w:rPr>
              <w:t>Sewer</w:t>
            </w:r>
          </w:p>
        </w:tc>
      </w:tr>
      <w:tr w:rsidR="00C81305" w:rsidRPr="00C81305" w14:paraId="1C469D09" w14:textId="77777777" w:rsidTr="00C81305">
        <w:trPr>
          <w:trHeight w:val="300"/>
        </w:trPr>
        <w:tc>
          <w:tcPr>
            <w:tcW w:w="1779" w:type="pct"/>
            <w:shd w:val="clear" w:color="auto" w:fill="auto"/>
            <w:vAlign w:val="bottom"/>
            <w:hideMark/>
          </w:tcPr>
          <w:p w14:paraId="763D7427" w14:textId="77777777" w:rsidR="00C81305" w:rsidRPr="00C81305" w:rsidRDefault="00C81305" w:rsidP="00C81305">
            <w:pPr>
              <w:jc w:val="left"/>
              <w:rPr>
                <w:szCs w:val="24"/>
              </w:rPr>
            </w:pPr>
            <w:r w:rsidRPr="00C81305">
              <w:rPr>
                <w:szCs w:val="24"/>
              </w:rPr>
              <w:lastRenderedPageBreak/>
              <w:t>Enriched Organics</w:t>
            </w:r>
          </w:p>
        </w:tc>
        <w:tc>
          <w:tcPr>
            <w:tcW w:w="729" w:type="pct"/>
            <w:shd w:val="clear" w:color="auto" w:fill="auto"/>
            <w:vAlign w:val="bottom"/>
            <w:hideMark/>
          </w:tcPr>
          <w:p w14:paraId="2E9DFAB9" w14:textId="77777777" w:rsidR="00C81305" w:rsidRPr="00C81305" w:rsidRDefault="00C81305" w:rsidP="00C81305">
            <w:pPr>
              <w:jc w:val="right"/>
              <w:rPr>
                <w:szCs w:val="24"/>
              </w:rPr>
            </w:pPr>
            <w:r w:rsidRPr="00C81305">
              <w:rPr>
                <w:szCs w:val="24"/>
              </w:rPr>
              <w:t>10/1/2020</w:t>
            </w:r>
          </w:p>
        </w:tc>
        <w:tc>
          <w:tcPr>
            <w:tcW w:w="1162" w:type="pct"/>
            <w:shd w:val="clear" w:color="auto" w:fill="auto"/>
            <w:vAlign w:val="bottom"/>
            <w:hideMark/>
          </w:tcPr>
          <w:p w14:paraId="7DA85D1A" w14:textId="77777777" w:rsidR="00C81305" w:rsidRPr="00C81305" w:rsidRDefault="00C81305" w:rsidP="00C81305">
            <w:pPr>
              <w:jc w:val="left"/>
              <w:rPr>
                <w:szCs w:val="24"/>
              </w:rPr>
            </w:pPr>
            <w:r w:rsidRPr="00C81305">
              <w:rPr>
                <w:szCs w:val="24"/>
              </w:rPr>
              <w:t>Septic Overflowing</w:t>
            </w:r>
          </w:p>
        </w:tc>
        <w:tc>
          <w:tcPr>
            <w:tcW w:w="691" w:type="pct"/>
            <w:shd w:val="clear" w:color="auto" w:fill="auto"/>
            <w:noWrap/>
            <w:vAlign w:val="bottom"/>
            <w:hideMark/>
          </w:tcPr>
          <w:p w14:paraId="54B35F57" w14:textId="77777777" w:rsidR="00C81305" w:rsidRPr="00C81305" w:rsidRDefault="00C81305" w:rsidP="00C81305">
            <w:pPr>
              <w:jc w:val="left"/>
              <w:rPr>
                <w:szCs w:val="24"/>
              </w:rPr>
            </w:pPr>
            <w:r w:rsidRPr="00C81305">
              <w:rPr>
                <w:szCs w:val="24"/>
              </w:rPr>
              <w:t> </w:t>
            </w:r>
          </w:p>
        </w:tc>
        <w:tc>
          <w:tcPr>
            <w:tcW w:w="639" w:type="pct"/>
            <w:shd w:val="clear" w:color="auto" w:fill="auto"/>
            <w:noWrap/>
            <w:vAlign w:val="bottom"/>
            <w:hideMark/>
          </w:tcPr>
          <w:p w14:paraId="005D7463" w14:textId="77777777" w:rsidR="00C81305" w:rsidRPr="00C81305" w:rsidRDefault="00C81305" w:rsidP="00C81305">
            <w:pPr>
              <w:jc w:val="right"/>
              <w:rPr>
                <w:szCs w:val="24"/>
              </w:rPr>
            </w:pPr>
            <w:r w:rsidRPr="00C81305">
              <w:rPr>
                <w:szCs w:val="24"/>
              </w:rPr>
              <w:t>380</w:t>
            </w:r>
          </w:p>
        </w:tc>
      </w:tr>
      <w:tr w:rsidR="00C81305" w:rsidRPr="00C81305" w14:paraId="032423D1" w14:textId="77777777" w:rsidTr="00C81305">
        <w:trPr>
          <w:trHeight w:val="300"/>
        </w:trPr>
        <w:tc>
          <w:tcPr>
            <w:tcW w:w="1779" w:type="pct"/>
            <w:shd w:val="clear" w:color="auto" w:fill="auto"/>
            <w:noWrap/>
            <w:vAlign w:val="bottom"/>
            <w:hideMark/>
          </w:tcPr>
          <w:p w14:paraId="7DCD1947" w14:textId="77777777" w:rsidR="00C81305" w:rsidRPr="00C81305" w:rsidRDefault="00C81305" w:rsidP="00C81305">
            <w:pPr>
              <w:jc w:val="left"/>
              <w:rPr>
                <w:color w:val="000000"/>
                <w:szCs w:val="24"/>
              </w:rPr>
            </w:pPr>
            <w:r w:rsidRPr="00C81305">
              <w:rPr>
                <w:color w:val="000000"/>
                <w:szCs w:val="24"/>
              </w:rPr>
              <w:t>Elite Printing &amp; Packaging</w:t>
            </w:r>
          </w:p>
        </w:tc>
        <w:tc>
          <w:tcPr>
            <w:tcW w:w="729" w:type="pct"/>
            <w:shd w:val="clear" w:color="auto" w:fill="auto"/>
            <w:noWrap/>
            <w:vAlign w:val="bottom"/>
            <w:hideMark/>
          </w:tcPr>
          <w:p w14:paraId="404FC31C" w14:textId="77777777" w:rsidR="00C81305" w:rsidRPr="00C81305" w:rsidRDefault="00C81305" w:rsidP="00C81305">
            <w:pPr>
              <w:jc w:val="right"/>
              <w:rPr>
                <w:color w:val="000000"/>
                <w:szCs w:val="24"/>
              </w:rPr>
            </w:pPr>
            <w:r w:rsidRPr="00C81305">
              <w:rPr>
                <w:color w:val="000000"/>
                <w:szCs w:val="24"/>
              </w:rPr>
              <w:t>11/23/2020</w:t>
            </w:r>
          </w:p>
        </w:tc>
        <w:tc>
          <w:tcPr>
            <w:tcW w:w="1162" w:type="pct"/>
            <w:shd w:val="clear" w:color="auto" w:fill="auto"/>
            <w:noWrap/>
            <w:vAlign w:val="bottom"/>
            <w:hideMark/>
          </w:tcPr>
          <w:p w14:paraId="4EFCEF00" w14:textId="77777777" w:rsidR="00C81305" w:rsidRPr="00C81305" w:rsidRDefault="00C81305" w:rsidP="00C81305">
            <w:pPr>
              <w:jc w:val="left"/>
              <w:rPr>
                <w:color w:val="000000"/>
                <w:szCs w:val="24"/>
              </w:rPr>
            </w:pPr>
            <w:r w:rsidRPr="00C81305">
              <w:rPr>
                <w:color w:val="000000"/>
                <w:szCs w:val="24"/>
              </w:rPr>
              <w:t>CSWR Signs</w:t>
            </w:r>
          </w:p>
        </w:tc>
        <w:tc>
          <w:tcPr>
            <w:tcW w:w="691" w:type="pct"/>
            <w:shd w:val="clear" w:color="auto" w:fill="auto"/>
            <w:noWrap/>
            <w:vAlign w:val="bottom"/>
            <w:hideMark/>
          </w:tcPr>
          <w:p w14:paraId="41A3231A" w14:textId="537DDDE9" w:rsidR="00C81305" w:rsidRPr="00C81305" w:rsidRDefault="006C1C9C" w:rsidP="00C81305">
            <w:pPr>
              <w:jc w:val="right"/>
              <w:rPr>
                <w:szCs w:val="24"/>
              </w:rPr>
            </w:pPr>
            <w:r>
              <w:rPr>
                <w:szCs w:val="24"/>
              </w:rPr>
              <w:t>24</w:t>
            </w:r>
          </w:p>
        </w:tc>
        <w:tc>
          <w:tcPr>
            <w:tcW w:w="639" w:type="pct"/>
            <w:shd w:val="clear" w:color="auto" w:fill="auto"/>
            <w:noWrap/>
            <w:vAlign w:val="bottom"/>
            <w:hideMark/>
          </w:tcPr>
          <w:p w14:paraId="2A867430" w14:textId="628897ED" w:rsidR="00C81305" w:rsidRPr="00C81305" w:rsidRDefault="006C1C9C" w:rsidP="00C81305">
            <w:pPr>
              <w:jc w:val="right"/>
              <w:rPr>
                <w:szCs w:val="24"/>
              </w:rPr>
            </w:pPr>
            <w:r>
              <w:rPr>
                <w:szCs w:val="24"/>
              </w:rPr>
              <w:t>24</w:t>
            </w:r>
          </w:p>
        </w:tc>
      </w:tr>
      <w:tr w:rsidR="00C81305" w:rsidRPr="00C81305" w14:paraId="40834993" w14:textId="77777777" w:rsidTr="00C81305">
        <w:trPr>
          <w:trHeight w:val="315"/>
        </w:trPr>
        <w:tc>
          <w:tcPr>
            <w:tcW w:w="1779" w:type="pct"/>
            <w:shd w:val="clear" w:color="auto" w:fill="auto"/>
            <w:noWrap/>
            <w:vAlign w:val="bottom"/>
            <w:hideMark/>
          </w:tcPr>
          <w:p w14:paraId="1C7EBC41" w14:textId="77777777" w:rsidR="00C81305" w:rsidRPr="00C81305" w:rsidRDefault="00C81305" w:rsidP="00C81305">
            <w:pPr>
              <w:jc w:val="left"/>
              <w:rPr>
                <w:color w:val="000000"/>
                <w:szCs w:val="24"/>
              </w:rPr>
            </w:pPr>
            <w:r w:rsidRPr="00C81305">
              <w:rPr>
                <w:color w:val="000000"/>
                <w:szCs w:val="24"/>
              </w:rPr>
              <w:t>Freight</w:t>
            </w:r>
          </w:p>
        </w:tc>
        <w:tc>
          <w:tcPr>
            <w:tcW w:w="729" w:type="pct"/>
            <w:shd w:val="clear" w:color="auto" w:fill="auto"/>
            <w:noWrap/>
            <w:vAlign w:val="bottom"/>
            <w:hideMark/>
          </w:tcPr>
          <w:p w14:paraId="4508CD5A" w14:textId="77777777" w:rsidR="00C81305" w:rsidRPr="00C81305" w:rsidRDefault="00C81305" w:rsidP="00C81305">
            <w:pPr>
              <w:jc w:val="right"/>
              <w:rPr>
                <w:color w:val="000000"/>
                <w:szCs w:val="24"/>
              </w:rPr>
            </w:pPr>
            <w:r w:rsidRPr="00C81305">
              <w:rPr>
                <w:color w:val="000000"/>
                <w:szCs w:val="24"/>
              </w:rPr>
              <w:t>11/23/2020</w:t>
            </w:r>
          </w:p>
        </w:tc>
        <w:tc>
          <w:tcPr>
            <w:tcW w:w="1162" w:type="pct"/>
            <w:shd w:val="clear" w:color="auto" w:fill="auto"/>
            <w:noWrap/>
            <w:vAlign w:val="bottom"/>
            <w:hideMark/>
          </w:tcPr>
          <w:p w14:paraId="7DBAC7F7" w14:textId="77777777" w:rsidR="00C81305" w:rsidRPr="00C81305" w:rsidRDefault="00C81305" w:rsidP="00C81305">
            <w:pPr>
              <w:jc w:val="left"/>
              <w:rPr>
                <w:color w:val="000000"/>
                <w:szCs w:val="24"/>
              </w:rPr>
            </w:pPr>
            <w:r w:rsidRPr="00C81305">
              <w:rPr>
                <w:color w:val="000000"/>
                <w:szCs w:val="24"/>
              </w:rPr>
              <w:t>CSWR Signs</w:t>
            </w:r>
          </w:p>
        </w:tc>
        <w:tc>
          <w:tcPr>
            <w:tcW w:w="691" w:type="pct"/>
            <w:shd w:val="clear" w:color="auto" w:fill="auto"/>
            <w:noWrap/>
            <w:vAlign w:val="bottom"/>
            <w:hideMark/>
          </w:tcPr>
          <w:p w14:paraId="69C88CAB" w14:textId="07ABDC77" w:rsidR="00C81305" w:rsidRPr="00C81305" w:rsidRDefault="006C1C9C" w:rsidP="00C81305">
            <w:pPr>
              <w:jc w:val="right"/>
              <w:rPr>
                <w:szCs w:val="24"/>
              </w:rPr>
            </w:pPr>
            <w:r>
              <w:rPr>
                <w:szCs w:val="24"/>
              </w:rPr>
              <w:t>2</w:t>
            </w:r>
          </w:p>
        </w:tc>
        <w:tc>
          <w:tcPr>
            <w:tcW w:w="639" w:type="pct"/>
            <w:shd w:val="clear" w:color="auto" w:fill="auto"/>
            <w:noWrap/>
            <w:vAlign w:val="bottom"/>
            <w:hideMark/>
          </w:tcPr>
          <w:p w14:paraId="4DC959B5" w14:textId="0AB97F2F" w:rsidR="00C81305" w:rsidRPr="00C81305" w:rsidRDefault="006C1C9C" w:rsidP="00C81305">
            <w:pPr>
              <w:jc w:val="right"/>
              <w:rPr>
                <w:szCs w:val="24"/>
              </w:rPr>
            </w:pPr>
            <w:r>
              <w:rPr>
                <w:szCs w:val="24"/>
              </w:rPr>
              <w:t>2</w:t>
            </w:r>
          </w:p>
        </w:tc>
      </w:tr>
      <w:tr w:rsidR="00C81305" w:rsidRPr="00C81305" w14:paraId="25774D91" w14:textId="77777777" w:rsidTr="00C81305">
        <w:trPr>
          <w:trHeight w:val="315"/>
        </w:trPr>
        <w:tc>
          <w:tcPr>
            <w:tcW w:w="2508" w:type="pct"/>
            <w:gridSpan w:val="2"/>
            <w:shd w:val="clear" w:color="auto" w:fill="auto"/>
            <w:noWrap/>
            <w:vAlign w:val="bottom"/>
            <w:hideMark/>
          </w:tcPr>
          <w:p w14:paraId="2CEDC38B" w14:textId="77777777" w:rsidR="00C81305" w:rsidRPr="00C81305" w:rsidRDefault="00C81305" w:rsidP="00C81305">
            <w:pPr>
              <w:jc w:val="left"/>
              <w:rPr>
                <w:szCs w:val="24"/>
              </w:rPr>
            </w:pPr>
          </w:p>
        </w:tc>
        <w:tc>
          <w:tcPr>
            <w:tcW w:w="1162" w:type="pct"/>
            <w:shd w:val="clear" w:color="auto" w:fill="auto"/>
            <w:noWrap/>
            <w:vAlign w:val="bottom"/>
            <w:hideMark/>
          </w:tcPr>
          <w:p w14:paraId="387386FC" w14:textId="6CFB3881" w:rsidR="00C81305" w:rsidRPr="00C81305" w:rsidRDefault="00C81305" w:rsidP="00C81305">
            <w:pPr>
              <w:jc w:val="right"/>
              <w:rPr>
                <w:b/>
                <w:bCs/>
                <w:szCs w:val="24"/>
              </w:rPr>
            </w:pPr>
            <w:r w:rsidRPr="00C81305">
              <w:rPr>
                <w:b/>
                <w:bCs/>
                <w:szCs w:val="24"/>
              </w:rPr>
              <w:t>Totals</w:t>
            </w:r>
          </w:p>
        </w:tc>
        <w:tc>
          <w:tcPr>
            <w:tcW w:w="691" w:type="pct"/>
            <w:shd w:val="clear" w:color="auto" w:fill="auto"/>
            <w:noWrap/>
            <w:vAlign w:val="bottom"/>
            <w:hideMark/>
          </w:tcPr>
          <w:p w14:paraId="670AEABD" w14:textId="1CC6F1D4" w:rsidR="00C81305" w:rsidRPr="00C81305" w:rsidRDefault="00C81305" w:rsidP="00C81305">
            <w:pPr>
              <w:jc w:val="center"/>
              <w:rPr>
                <w:b/>
                <w:bCs/>
                <w:szCs w:val="24"/>
              </w:rPr>
            </w:pPr>
            <w:r w:rsidRPr="00C81305">
              <w:rPr>
                <w:b/>
                <w:bCs/>
                <w:szCs w:val="24"/>
              </w:rPr>
              <w:t>$</w:t>
            </w:r>
            <w:r w:rsidR="00D219E4">
              <w:rPr>
                <w:b/>
                <w:bCs/>
                <w:szCs w:val="24"/>
              </w:rPr>
              <w:t>26</w:t>
            </w:r>
          </w:p>
        </w:tc>
        <w:tc>
          <w:tcPr>
            <w:tcW w:w="639" w:type="pct"/>
            <w:shd w:val="clear" w:color="auto" w:fill="auto"/>
            <w:noWrap/>
            <w:vAlign w:val="bottom"/>
            <w:hideMark/>
          </w:tcPr>
          <w:p w14:paraId="28DC4607" w14:textId="17380E1C" w:rsidR="00C81305" w:rsidRPr="00C81305" w:rsidRDefault="00C81305" w:rsidP="00C81305">
            <w:pPr>
              <w:jc w:val="center"/>
              <w:rPr>
                <w:b/>
                <w:bCs/>
                <w:szCs w:val="24"/>
              </w:rPr>
            </w:pPr>
            <w:r w:rsidRPr="00C81305">
              <w:rPr>
                <w:b/>
                <w:bCs/>
                <w:szCs w:val="24"/>
              </w:rPr>
              <w:t>$</w:t>
            </w:r>
            <w:r w:rsidR="00D219E4">
              <w:rPr>
                <w:b/>
                <w:bCs/>
                <w:szCs w:val="24"/>
              </w:rPr>
              <w:t>406</w:t>
            </w:r>
          </w:p>
        </w:tc>
      </w:tr>
    </w:tbl>
    <w:p w14:paraId="590FBC26" w14:textId="77777777" w:rsidR="00C81305" w:rsidRDefault="00C81305" w:rsidP="00C81305">
      <w:pPr>
        <w:rPr>
          <w:szCs w:val="24"/>
        </w:rPr>
      </w:pPr>
    </w:p>
    <w:p w14:paraId="4CDC1383" w14:textId="5E3C4C79" w:rsidR="00AB7DE3" w:rsidRDefault="00AB7DE3" w:rsidP="00AB7DE3">
      <w:pPr>
        <w:spacing w:after="240"/>
        <w:rPr>
          <w:szCs w:val="24"/>
        </w:rPr>
      </w:pPr>
      <w:r w:rsidRPr="00C302E9">
        <w:rPr>
          <w:szCs w:val="24"/>
        </w:rPr>
        <w:t xml:space="preserve">Attached is a tariff for </w:t>
      </w:r>
      <w:r>
        <w:rPr>
          <w:szCs w:val="24"/>
        </w:rPr>
        <w:t>Castlecomb</w:t>
      </w:r>
      <w:r w:rsidRPr="00C302E9">
        <w:rPr>
          <w:szCs w:val="24"/>
        </w:rPr>
        <w:t xml:space="preserve"> that reflects the rates recommended by Staff expert Jorge Ordonez. The tariff is based on the pro forma tariff approved by the Commission for many utilities.</w:t>
      </w:r>
    </w:p>
    <w:p w14:paraId="31E569B3" w14:textId="77777777" w:rsidR="00D63A2D" w:rsidRPr="00C302E9" w:rsidRDefault="00D63A2D" w:rsidP="00D63A2D">
      <w:pPr>
        <w:rPr>
          <w:b/>
          <w:szCs w:val="24"/>
          <w:u w:val="single"/>
        </w:rPr>
      </w:pPr>
      <w:r w:rsidRPr="00C302E9">
        <w:rPr>
          <w:b/>
          <w:szCs w:val="24"/>
          <w:u w:val="single"/>
        </w:rPr>
        <w:t>Recommendation:</w:t>
      </w:r>
    </w:p>
    <w:p w14:paraId="2488EB48" w14:textId="77777777" w:rsidR="00450F2E" w:rsidRDefault="00450F2E" w:rsidP="00450F2E">
      <w:pPr>
        <w:tabs>
          <w:tab w:val="left" w:pos="0"/>
        </w:tabs>
        <w:rPr>
          <w:szCs w:val="24"/>
        </w:rPr>
      </w:pPr>
    </w:p>
    <w:p w14:paraId="3B5A2AA3" w14:textId="0E2BCBA0" w:rsidR="00AB7DE3" w:rsidRPr="00C302E9" w:rsidRDefault="00AB7DE3" w:rsidP="00AB7DE3">
      <w:pPr>
        <w:tabs>
          <w:tab w:val="left" w:pos="0"/>
        </w:tabs>
        <w:spacing w:after="240"/>
        <w:rPr>
          <w:szCs w:val="24"/>
        </w:rPr>
      </w:pPr>
      <w:r w:rsidRPr="00C302E9">
        <w:rPr>
          <w:szCs w:val="24"/>
        </w:rPr>
        <w:t>I recommend the following:</w:t>
      </w:r>
    </w:p>
    <w:p w14:paraId="5ACDE206" w14:textId="253F6EEB" w:rsidR="00C81305" w:rsidRPr="00C81305" w:rsidRDefault="00AB7DE3" w:rsidP="00C81305">
      <w:pPr>
        <w:pStyle w:val="ListParagraph"/>
        <w:numPr>
          <w:ilvl w:val="0"/>
          <w:numId w:val="2"/>
        </w:numPr>
        <w:tabs>
          <w:tab w:val="left" w:pos="0"/>
        </w:tabs>
        <w:spacing w:after="0" w:line="240" w:lineRule="auto"/>
        <w:jc w:val="both"/>
        <w:rPr>
          <w:rFonts w:cs="Times New Roman"/>
          <w:szCs w:val="24"/>
        </w:rPr>
      </w:pPr>
      <w:r w:rsidRPr="00C302E9">
        <w:rPr>
          <w:rFonts w:cs="Times New Roman"/>
          <w:szCs w:val="24"/>
        </w:rPr>
        <w:t xml:space="preserve">Include in the calculation of rates the recommended yearly costs </w:t>
      </w:r>
      <w:r w:rsidR="00C81305">
        <w:rPr>
          <w:rFonts w:cs="Times New Roman"/>
          <w:szCs w:val="24"/>
        </w:rPr>
        <w:t xml:space="preserve">and include a calculation for a surcharge for </w:t>
      </w:r>
      <w:r w:rsidR="00A132A9">
        <w:rPr>
          <w:rFonts w:cs="Times New Roman"/>
          <w:szCs w:val="24"/>
        </w:rPr>
        <w:t>four</w:t>
      </w:r>
      <w:r w:rsidR="00C81305">
        <w:rPr>
          <w:rFonts w:cs="Times New Roman"/>
          <w:szCs w:val="24"/>
        </w:rPr>
        <w:t xml:space="preserve"> months </w:t>
      </w:r>
      <w:r>
        <w:rPr>
          <w:rFonts w:cs="Times New Roman"/>
          <w:szCs w:val="24"/>
        </w:rPr>
        <w:t xml:space="preserve">provided in Mr. Spencer English’s memo and worksheet. </w:t>
      </w:r>
    </w:p>
    <w:p w14:paraId="7EE5874B" w14:textId="77777777" w:rsidR="00AB7DE3" w:rsidRPr="00C302E9" w:rsidRDefault="00AB7DE3" w:rsidP="00AB7DE3">
      <w:pPr>
        <w:pStyle w:val="ListParagraph"/>
        <w:numPr>
          <w:ilvl w:val="0"/>
          <w:numId w:val="2"/>
        </w:numPr>
        <w:tabs>
          <w:tab w:val="left" w:pos="0"/>
        </w:tabs>
        <w:spacing w:after="0" w:line="240" w:lineRule="auto"/>
        <w:jc w:val="both"/>
        <w:rPr>
          <w:rFonts w:cs="Times New Roman"/>
          <w:szCs w:val="24"/>
        </w:rPr>
      </w:pPr>
      <w:r w:rsidRPr="00C302E9">
        <w:rPr>
          <w:rFonts w:cs="Times New Roman"/>
          <w:szCs w:val="24"/>
        </w:rPr>
        <w:t>Approve the attached tariff.</w:t>
      </w:r>
    </w:p>
    <w:p w14:paraId="468436C4" w14:textId="15763DE0" w:rsidR="00AB7DE3" w:rsidRPr="00C853FE" w:rsidRDefault="00AB7DE3" w:rsidP="00AB7DE3">
      <w:pPr>
        <w:pStyle w:val="ListParagraph"/>
        <w:numPr>
          <w:ilvl w:val="0"/>
          <w:numId w:val="2"/>
        </w:numPr>
        <w:tabs>
          <w:tab w:val="left" w:pos="0"/>
        </w:tabs>
        <w:spacing w:after="0" w:line="240" w:lineRule="auto"/>
        <w:jc w:val="both"/>
        <w:rPr>
          <w:szCs w:val="24"/>
        </w:rPr>
      </w:pPr>
      <w:bookmarkStart w:id="2" w:name="_Hlk40085821"/>
      <w:r>
        <w:rPr>
          <w:szCs w:val="24"/>
        </w:rPr>
        <w:t>If any overages were collected from customers for the months the requested rate was billed</w:t>
      </w:r>
      <w:r w:rsidR="00DF38A3">
        <w:rPr>
          <w:szCs w:val="24"/>
        </w:rPr>
        <w:t>,</w:t>
      </w:r>
      <w:r>
        <w:rPr>
          <w:szCs w:val="24"/>
        </w:rPr>
        <w:t xml:space="preserve"> </w:t>
      </w:r>
      <w:r w:rsidR="00DF38A3">
        <w:rPr>
          <w:szCs w:val="24"/>
        </w:rPr>
        <w:t>I</w:t>
      </w:r>
      <w:r>
        <w:rPr>
          <w:szCs w:val="24"/>
        </w:rPr>
        <w:t xml:space="preserve"> recommend </w:t>
      </w:r>
      <w:r w:rsidR="001D7D80">
        <w:rPr>
          <w:szCs w:val="24"/>
        </w:rPr>
        <w:t xml:space="preserve">that </w:t>
      </w:r>
      <w:r>
        <w:rPr>
          <w:szCs w:val="24"/>
        </w:rPr>
        <w:t xml:space="preserve">no refunds </w:t>
      </w:r>
      <w:r w:rsidR="001D7D80">
        <w:rPr>
          <w:szCs w:val="24"/>
        </w:rPr>
        <w:t xml:space="preserve">be issued </w:t>
      </w:r>
      <w:r>
        <w:rPr>
          <w:szCs w:val="24"/>
        </w:rPr>
        <w:t xml:space="preserve">to the customers based on the </w:t>
      </w:r>
      <w:r w:rsidR="00DF38A3">
        <w:rPr>
          <w:szCs w:val="24"/>
        </w:rPr>
        <w:t xml:space="preserve">proposed </w:t>
      </w:r>
      <w:r>
        <w:rPr>
          <w:szCs w:val="24"/>
        </w:rPr>
        <w:t xml:space="preserve">temporary rates. </w:t>
      </w:r>
      <w:r w:rsidR="00DF38A3">
        <w:rPr>
          <w:szCs w:val="24"/>
        </w:rPr>
        <w:t>I</w:t>
      </w:r>
      <w:r>
        <w:rPr>
          <w:szCs w:val="24"/>
        </w:rPr>
        <w:t xml:space="preserve"> recommend that the temporary manager keep separate accounting for all amounts collected in excess of the</w:t>
      </w:r>
      <w:r w:rsidR="00A46A7B">
        <w:rPr>
          <w:szCs w:val="24"/>
        </w:rPr>
        <w:t xml:space="preserve"> Commission</w:t>
      </w:r>
      <w:r>
        <w:rPr>
          <w:szCs w:val="24"/>
        </w:rPr>
        <w:t xml:space="preserve"> approved temporary rate for the months the requested rate</w:t>
      </w:r>
      <w:r w:rsidR="00E26FF8">
        <w:rPr>
          <w:szCs w:val="24"/>
        </w:rPr>
        <w:t xml:space="preserve"> was billed to the customers</w:t>
      </w:r>
      <w:r>
        <w:rPr>
          <w:szCs w:val="24"/>
        </w:rPr>
        <w:t>, rather than the Commission approved rate. The excess funds collected should be used to pay for any repairs or maintenance at the water system and the liability reduced by the amount incurred for repairs and maintenance in excess of the amount included in the approved temporary rate. If this excess amount has already been used to help pay for repairs or maintenance, Staff recommends that the temporary manager submit the invoices to substantiate the costs of the repair or maintenance.</w:t>
      </w:r>
    </w:p>
    <w:bookmarkEnd w:id="2"/>
    <w:p w14:paraId="5935D40B" w14:textId="475B622E" w:rsidR="00AB7DE3" w:rsidRPr="000000D1" w:rsidRDefault="00AB7DE3" w:rsidP="001D7D80">
      <w:pPr>
        <w:pStyle w:val="ListParagraph"/>
        <w:numPr>
          <w:ilvl w:val="0"/>
          <w:numId w:val="2"/>
        </w:numPr>
        <w:tabs>
          <w:tab w:val="left" w:pos="0"/>
        </w:tabs>
        <w:spacing w:after="0" w:line="240" w:lineRule="auto"/>
        <w:contextualSpacing w:val="0"/>
        <w:jc w:val="both"/>
        <w:rPr>
          <w:rFonts w:cs="Times New Roman"/>
          <w:szCs w:val="24"/>
        </w:rPr>
      </w:pPr>
      <w:r w:rsidRPr="00C302E9">
        <w:rPr>
          <w:rFonts w:cs="Times New Roman"/>
          <w:szCs w:val="24"/>
        </w:rPr>
        <w:t xml:space="preserve">Order </w:t>
      </w:r>
      <w:r>
        <w:rPr>
          <w:rFonts w:cs="Times New Roman"/>
          <w:szCs w:val="24"/>
        </w:rPr>
        <w:t>CSWR-Texas</w:t>
      </w:r>
      <w:r w:rsidRPr="00C302E9">
        <w:rPr>
          <w:rFonts w:cs="Times New Roman"/>
          <w:szCs w:val="24"/>
        </w:rPr>
        <w:t xml:space="preserve"> to provide </w:t>
      </w:r>
      <w:r w:rsidR="00750BD9" w:rsidRPr="00750BD9">
        <w:rPr>
          <w:rFonts w:cs="Times New Roman"/>
          <w:szCs w:val="24"/>
        </w:rPr>
        <w:t xml:space="preserve">to the Commission </w:t>
      </w:r>
      <w:r w:rsidR="001D7D80" w:rsidRPr="001D7D80">
        <w:rPr>
          <w:rFonts w:eastAsia="Times New Roman" w:cs="Times New Roman"/>
          <w:szCs w:val="24"/>
        </w:rPr>
        <w:t>the following documentation monthly, by the last day of the month following the month in question, until the temporary manager’s term is completed</w:t>
      </w:r>
      <w:r w:rsidRPr="000000D1">
        <w:rPr>
          <w:szCs w:val="24"/>
        </w:rPr>
        <w:t>:</w:t>
      </w:r>
    </w:p>
    <w:p w14:paraId="011497D8" w14:textId="77777777" w:rsidR="00AB7DE3" w:rsidRPr="00C302E9" w:rsidRDefault="00AB7DE3" w:rsidP="00AB7DE3">
      <w:pPr>
        <w:pStyle w:val="ListParagraph"/>
        <w:numPr>
          <w:ilvl w:val="0"/>
          <w:numId w:val="1"/>
        </w:numPr>
        <w:tabs>
          <w:tab w:val="left" w:pos="0"/>
        </w:tabs>
        <w:spacing w:after="0" w:line="240" w:lineRule="auto"/>
        <w:ind w:left="1440"/>
        <w:contextualSpacing w:val="0"/>
        <w:jc w:val="both"/>
        <w:rPr>
          <w:rFonts w:cs="Times New Roman"/>
          <w:szCs w:val="24"/>
        </w:rPr>
      </w:pPr>
      <w:r w:rsidRPr="00C302E9">
        <w:rPr>
          <w:rFonts w:cs="Times New Roman"/>
          <w:szCs w:val="24"/>
        </w:rPr>
        <w:t>Summary of monthly revenues and expenses with a detailed list of actual costs for operating the system, such as repairs, chlorine, billing, operator costs, electricity, laboratory fees, sampling costs, etc.;</w:t>
      </w:r>
    </w:p>
    <w:p w14:paraId="0E11F7E3" w14:textId="77777777" w:rsidR="00AB7DE3" w:rsidRPr="00C302E9" w:rsidRDefault="00AB7DE3" w:rsidP="00AB7DE3">
      <w:pPr>
        <w:pStyle w:val="ListParagraph"/>
        <w:numPr>
          <w:ilvl w:val="0"/>
          <w:numId w:val="1"/>
        </w:numPr>
        <w:tabs>
          <w:tab w:val="left" w:pos="0"/>
        </w:tabs>
        <w:spacing w:after="0" w:line="240" w:lineRule="auto"/>
        <w:ind w:left="1440"/>
        <w:contextualSpacing w:val="0"/>
        <w:jc w:val="both"/>
        <w:rPr>
          <w:rFonts w:cs="Times New Roman"/>
          <w:szCs w:val="24"/>
        </w:rPr>
      </w:pPr>
      <w:r w:rsidRPr="00C302E9">
        <w:rPr>
          <w:rFonts w:cs="Times New Roman"/>
          <w:szCs w:val="24"/>
        </w:rPr>
        <w:t>Copies of invoices and receipts to support the actual cost of service;</w:t>
      </w:r>
      <w:r>
        <w:rPr>
          <w:rFonts w:cs="Times New Roman"/>
          <w:szCs w:val="24"/>
        </w:rPr>
        <w:t xml:space="preserve"> and</w:t>
      </w:r>
    </w:p>
    <w:p w14:paraId="625F7EB4" w14:textId="433CEC8E" w:rsidR="00DA36E8" w:rsidRPr="001D7D80" w:rsidRDefault="00AB7DE3" w:rsidP="006B05BD">
      <w:pPr>
        <w:pStyle w:val="ListParagraph"/>
        <w:numPr>
          <w:ilvl w:val="0"/>
          <w:numId w:val="1"/>
        </w:numPr>
        <w:tabs>
          <w:tab w:val="left" w:pos="0"/>
          <w:tab w:val="left" w:pos="1170"/>
        </w:tabs>
        <w:spacing w:after="120" w:line="240" w:lineRule="auto"/>
        <w:ind w:left="1440"/>
        <w:contextualSpacing w:val="0"/>
        <w:jc w:val="both"/>
      </w:pPr>
      <w:r w:rsidRPr="00AB7DE3">
        <w:rPr>
          <w:rFonts w:cs="Times New Roman"/>
          <w:szCs w:val="24"/>
        </w:rPr>
        <w:t>The actual number of connections at the beginning and at the end of the month.</w:t>
      </w:r>
    </w:p>
    <w:p w14:paraId="0AC0CC23" w14:textId="23E0825B" w:rsidR="001D7D80" w:rsidRPr="00402ACA" w:rsidRDefault="001D7D80" w:rsidP="00402ACA">
      <w:pPr>
        <w:pStyle w:val="ListParagraph"/>
        <w:numPr>
          <w:ilvl w:val="0"/>
          <w:numId w:val="2"/>
        </w:numPr>
        <w:tabs>
          <w:tab w:val="left" w:pos="0"/>
        </w:tabs>
        <w:spacing w:after="0" w:line="240" w:lineRule="auto"/>
        <w:contextualSpacing w:val="0"/>
        <w:jc w:val="both"/>
        <w:rPr>
          <w:rFonts w:cs="Times New Roman"/>
          <w:szCs w:val="24"/>
        </w:rPr>
      </w:pPr>
      <w:bookmarkStart w:id="3" w:name="_Hlk35609021"/>
      <w:r w:rsidRPr="001D7D80">
        <w:rPr>
          <w:rFonts w:cs="Times New Roman"/>
          <w:szCs w:val="24"/>
        </w:rPr>
        <w:t xml:space="preserve">Order that the temporary rate shall remain in place </w:t>
      </w:r>
      <w:r w:rsidR="00402ACA" w:rsidRPr="00402ACA">
        <w:rPr>
          <w:rFonts w:cs="Times New Roman"/>
          <w:szCs w:val="24"/>
        </w:rPr>
        <w:t>until the Commission orders otherwise.</w:t>
      </w:r>
      <w:bookmarkEnd w:id="3"/>
    </w:p>
    <w:sectPr w:rsidR="001D7D80" w:rsidRPr="00402ACA" w:rsidSect="008262FF">
      <w:headerReference w:type="default" r:id="rId11"/>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82D57" w14:textId="77777777" w:rsidR="00CB7106" w:rsidRDefault="00CB7106">
      <w:r>
        <w:separator/>
      </w:r>
    </w:p>
  </w:endnote>
  <w:endnote w:type="continuationSeparator" w:id="0">
    <w:p w14:paraId="460AEBFD" w14:textId="77777777" w:rsidR="00CB7106" w:rsidRDefault="00CB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A5A74" w14:textId="77777777" w:rsidR="00CB7106" w:rsidRDefault="00CB7106">
      <w:r>
        <w:separator/>
      </w:r>
    </w:p>
  </w:footnote>
  <w:footnote w:type="continuationSeparator" w:id="0">
    <w:p w14:paraId="23B60F9E" w14:textId="77777777" w:rsidR="00CB7106" w:rsidRDefault="00CB7106">
      <w:r>
        <w:continuationSeparator/>
      </w:r>
    </w:p>
  </w:footnote>
  <w:footnote w:id="1">
    <w:p w14:paraId="248CDAF3" w14:textId="2D44AE63" w:rsidR="00A132A9" w:rsidRDefault="00A132A9" w:rsidP="00052A77">
      <w:pPr>
        <w:pStyle w:val="FootnoteText"/>
        <w:spacing w:after="120"/>
        <w:ind w:firstLine="720"/>
      </w:pPr>
      <w:r>
        <w:rPr>
          <w:rStyle w:val="FootnoteReference"/>
        </w:rPr>
        <w:footnoteRef/>
      </w:r>
      <w:r>
        <w:t xml:space="preserve"> </w:t>
      </w:r>
      <w:r w:rsidR="0038165C">
        <w:t>Application</w:t>
      </w:r>
      <w:r w:rsidR="000000D1">
        <w:t xml:space="preserve"> at 1</w:t>
      </w:r>
      <w:r w:rsidR="0038165C">
        <w:t xml:space="preserve"> (Nov. 2, 2020)</w:t>
      </w:r>
      <w:r w:rsidR="000000D1">
        <w:t>.</w:t>
      </w:r>
    </w:p>
  </w:footnote>
  <w:footnote w:id="2">
    <w:p w14:paraId="1AC35567" w14:textId="3EE2D1B9" w:rsidR="00A132A9" w:rsidRDefault="00A132A9" w:rsidP="00052A77">
      <w:pPr>
        <w:pStyle w:val="FootnoteText"/>
        <w:spacing w:after="120"/>
        <w:ind w:firstLine="720"/>
      </w:pPr>
      <w:r>
        <w:rPr>
          <w:rStyle w:val="FootnoteReference"/>
        </w:rPr>
        <w:footnoteRef/>
      </w:r>
      <w:r>
        <w:t xml:space="preserve"> </w:t>
      </w:r>
      <w:r w:rsidR="0038165C" w:rsidRPr="0038165C">
        <w:rPr>
          <w:i/>
          <w:iCs/>
        </w:rPr>
        <w:t>Id.</w:t>
      </w:r>
      <w:r w:rsidR="0038165C">
        <w:t xml:space="preserve"> at</w:t>
      </w:r>
      <w:r w:rsidR="000000D1">
        <w:t xml:space="preserve"> 4.</w:t>
      </w:r>
    </w:p>
  </w:footnote>
  <w:footnote w:id="3">
    <w:p w14:paraId="337250F6" w14:textId="56A10C0B" w:rsidR="00A132A9" w:rsidRDefault="00A132A9" w:rsidP="00052A77">
      <w:pPr>
        <w:pStyle w:val="FootnoteText"/>
        <w:spacing w:after="120"/>
        <w:ind w:firstLine="720"/>
      </w:pPr>
      <w:r>
        <w:rPr>
          <w:rStyle w:val="FootnoteReference"/>
        </w:rPr>
        <w:footnoteRef/>
      </w:r>
      <w:r>
        <w:t xml:space="preserve"> </w:t>
      </w:r>
      <w:bookmarkStart w:id="1" w:name="_Hlk61252057"/>
      <w:r w:rsidR="0038165C" w:rsidRPr="0038165C">
        <w:t>CSWR</w:t>
      </w:r>
      <w:r w:rsidR="0038165C">
        <w:t>’</w:t>
      </w:r>
      <w:r w:rsidR="0038165C" w:rsidRPr="0038165C">
        <w:t>s Response to Staff</w:t>
      </w:r>
      <w:r w:rsidR="0038165C">
        <w:t>’</w:t>
      </w:r>
      <w:r w:rsidR="0038165C" w:rsidRPr="0038165C">
        <w:t>s Request for Documentation</w:t>
      </w:r>
      <w:r w:rsidR="0038165C" w:rsidRPr="0038165C" w:rsidDel="0038165C">
        <w:t xml:space="preserve"> </w:t>
      </w:r>
      <w:r w:rsidR="0038165C">
        <w:t xml:space="preserve">at 4-9 </w:t>
      </w:r>
      <w:r w:rsidR="00042230">
        <w:t>(</w:t>
      </w:r>
      <w:r w:rsidR="0038165C">
        <w:t xml:space="preserve">Dec. </w:t>
      </w:r>
      <w:r w:rsidR="00042230">
        <w:t>18, 2020)</w:t>
      </w:r>
      <w:r w:rsidR="0038165C">
        <w:t>;</w:t>
      </w:r>
      <w:r w:rsidR="00042230">
        <w:t xml:space="preserve"> </w:t>
      </w:r>
      <w:r w:rsidR="0038165C" w:rsidRPr="0038165C">
        <w:t>CSWR</w:t>
      </w:r>
      <w:r w:rsidR="0038165C">
        <w:t>’s</w:t>
      </w:r>
      <w:r w:rsidR="0038165C" w:rsidRPr="0038165C">
        <w:t xml:space="preserve"> Response to Staff</w:t>
      </w:r>
      <w:r w:rsidR="0038165C">
        <w:t>’s</w:t>
      </w:r>
      <w:r w:rsidR="0038165C" w:rsidRPr="0038165C">
        <w:t xml:space="preserve"> 2nd RFI</w:t>
      </w:r>
      <w:r w:rsidR="0038165C">
        <w:t xml:space="preserve"> at 4</w:t>
      </w:r>
      <w:r w:rsidR="00052A77">
        <w:t xml:space="preserve"> </w:t>
      </w:r>
      <w:r w:rsidR="00042230">
        <w:t>(</w:t>
      </w:r>
      <w:r w:rsidR="0038165C">
        <w:t xml:space="preserve">Jan. </w:t>
      </w:r>
      <w:r w:rsidR="00042230">
        <w:t>4, 2021)</w:t>
      </w:r>
      <w:r w:rsidR="0038165C">
        <w:t>.</w:t>
      </w:r>
      <w:bookmarkEnd w:id="1"/>
    </w:p>
  </w:footnote>
  <w:footnote w:id="4">
    <w:p w14:paraId="7D430B72" w14:textId="7B57D503" w:rsidR="00A132A9" w:rsidRDefault="00A132A9" w:rsidP="00052A77">
      <w:pPr>
        <w:pStyle w:val="FootnoteText"/>
        <w:spacing w:after="120"/>
        <w:ind w:firstLine="720"/>
      </w:pPr>
      <w:r>
        <w:rPr>
          <w:rStyle w:val="FootnoteReference"/>
        </w:rPr>
        <w:footnoteRef/>
      </w:r>
      <w:r>
        <w:t xml:space="preserve"> </w:t>
      </w:r>
      <w:r w:rsidR="0038165C" w:rsidRPr="0038165C">
        <w:t xml:space="preserve">CSWR’s Response to Staff’s Request for Documentation </w:t>
      </w:r>
      <w:r w:rsidR="0038165C">
        <w:t>at 10-12</w:t>
      </w:r>
      <w:r w:rsidR="00052A77">
        <w:t xml:space="preserve"> </w:t>
      </w:r>
      <w:r w:rsidR="00042230">
        <w:t>(</w:t>
      </w:r>
      <w:r w:rsidR="0038165C">
        <w:t xml:space="preserve">Dec. </w:t>
      </w:r>
      <w:r w:rsidR="00042230">
        <w:t xml:space="preserve">18, 2020). </w:t>
      </w:r>
    </w:p>
  </w:footnote>
  <w:footnote w:id="5">
    <w:p w14:paraId="2A0B4B00" w14:textId="483FE446" w:rsidR="00A132A9" w:rsidRDefault="00A132A9" w:rsidP="00052A77">
      <w:pPr>
        <w:pStyle w:val="FootnoteText"/>
        <w:spacing w:after="120"/>
        <w:ind w:firstLine="720"/>
      </w:pPr>
      <w:r>
        <w:rPr>
          <w:rStyle w:val="FootnoteReference"/>
        </w:rPr>
        <w:footnoteRef/>
      </w:r>
      <w:r>
        <w:t xml:space="preserve"> </w:t>
      </w:r>
      <w:r w:rsidR="0038165C">
        <w:t>Application at</w:t>
      </w:r>
      <w:r w:rsidR="00042230">
        <w:t xml:space="preserve"> 1</w:t>
      </w:r>
      <w:r w:rsidR="0038165C">
        <w:t xml:space="preserve"> </w:t>
      </w:r>
      <w:r w:rsidR="0038165C" w:rsidRPr="0038165C">
        <w:t>(Nov. 2, 2020)</w:t>
      </w:r>
      <w:r w:rsidR="00042230">
        <w:t>.</w:t>
      </w:r>
    </w:p>
  </w:footnote>
  <w:footnote w:id="6">
    <w:p w14:paraId="384008A0" w14:textId="7393DE2E" w:rsidR="00042230" w:rsidRDefault="00042230" w:rsidP="00052A77">
      <w:pPr>
        <w:pStyle w:val="FootnoteText"/>
        <w:spacing w:after="120"/>
        <w:ind w:firstLine="720"/>
      </w:pPr>
      <w:r>
        <w:rPr>
          <w:rStyle w:val="FootnoteReference"/>
        </w:rPr>
        <w:footnoteRef/>
      </w:r>
      <w:r>
        <w:t xml:space="preserve"> </w:t>
      </w:r>
      <w:r w:rsidR="0038165C" w:rsidRPr="0038165C">
        <w:t>CSWR’s Response to Staff’s Request for Documentation</w:t>
      </w:r>
      <w:r w:rsidR="0038165C" w:rsidRPr="0038165C" w:rsidDel="0038165C">
        <w:t xml:space="preserve"> </w:t>
      </w:r>
      <w:r w:rsidR="0038165C" w:rsidRPr="0038165C">
        <w:t>at</w:t>
      </w:r>
      <w:r w:rsidR="0038165C">
        <w:t xml:space="preserve"> </w:t>
      </w:r>
      <w:r w:rsidR="0038165C" w:rsidRPr="0038165C">
        <w:t>9 (Dec. 18, 2020); CSWR’s Response to Staff’s 2nd RFI at 4</w:t>
      </w:r>
      <w:r w:rsidR="0038165C">
        <w:t xml:space="preserve"> </w:t>
      </w:r>
      <w:r w:rsidR="0038165C" w:rsidRPr="0038165C">
        <w:t>(Jan. 4, 2021).</w:t>
      </w:r>
    </w:p>
  </w:footnote>
  <w:footnote w:id="7">
    <w:p w14:paraId="79F500EF" w14:textId="68D1E091" w:rsidR="00042230" w:rsidRDefault="00042230" w:rsidP="00052A77">
      <w:pPr>
        <w:pStyle w:val="FootnoteText"/>
        <w:spacing w:after="120"/>
        <w:ind w:firstLine="720"/>
      </w:pPr>
      <w:r>
        <w:rPr>
          <w:rStyle w:val="FootnoteReference"/>
        </w:rPr>
        <w:footnoteRef/>
      </w:r>
      <w:r>
        <w:t xml:space="preserve"> </w:t>
      </w:r>
      <w:r w:rsidR="0038165C" w:rsidRPr="0038165C">
        <w:t>CSWR’s Response to Staff’s Request for Documentation</w:t>
      </w:r>
      <w:r w:rsidR="0038165C" w:rsidRPr="0038165C" w:rsidDel="0038165C">
        <w:t xml:space="preserve"> </w:t>
      </w:r>
      <w:r w:rsidR="0038165C" w:rsidRPr="0038165C">
        <w:t xml:space="preserve">at </w:t>
      </w:r>
      <w:r w:rsidR="0038165C">
        <w:t>1</w:t>
      </w:r>
      <w:r w:rsidR="0038165C" w:rsidRPr="0038165C">
        <w:t>4 (Dec. 18, 2020)</w:t>
      </w:r>
      <w:r>
        <w:t>.</w:t>
      </w:r>
    </w:p>
  </w:footnote>
  <w:footnote w:id="8">
    <w:p w14:paraId="1AC5F6F4" w14:textId="14163BA8" w:rsidR="00042230" w:rsidRDefault="00042230" w:rsidP="00052A77">
      <w:pPr>
        <w:pStyle w:val="FootnoteText"/>
        <w:spacing w:after="120"/>
        <w:ind w:firstLine="720"/>
      </w:pPr>
      <w:r>
        <w:rPr>
          <w:rStyle w:val="FootnoteReference"/>
        </w:rPr>
        <w:footnoteRef/>
      </w:r>
      <w:r>
        <w:t xml:space="preserve"> </w:t>
      </w:r>
      <w:r w:rsidRPr="00402ACA">
        <w:rPr>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169D" w14:textId="77777777" w:rsidR="00DA36E8" w:rsidRDefault="00DA36E8">
    <w:pPr>
      <w:pStyle w:val="Header"/>
      <w:jc w:val="center"/>
      <w:rPr>
        <w:b/>
        <w:i/>
        <w:sz w:val="38"/>
      </w:rPr>
    </w:pPr>
    <w:r>
      <w:rPr>
        <w:b/>
        <w:i/>
        <w:sz w:val="38"/>
      </w:rPr>
      <w:t>Public Utility Commission of Texas</w:t>
    </w:r>
  </w:p>
  <w:p w14:paraId="2ABE45E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08D541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FC27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C616E"/>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5FF4FF9"/>
    <w:multiLevelType w:val="hybridMultilevel"/>
    <w:tmpl w:val="B03A56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8B03A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7BC3BC3"/>
    <w:multiLevelType w:val="hybridMultilevel"/>
    <w:tmpl w:val="534E6F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E3"/>
    <w:rsid w:val="000000D1"/>
    <w:rsid w:val="00035B4F"/>
    <w:rsid w:val="00041DBC"/>
    <w:rsid w:val="00042230"/>
    <w:rsid w:val="00052A77"/>
    <w:rsid w:val="00116570"/>
    <w:rsid w:val="001D7D80"/>
    <w:rsid w:val="00217066"/>
    <w:rsid w:val="0028111B"/>
    <w:rsid w:val="00365F04"/>
    <w:rsid w:val="0038083F"/>
    <w:rsid w:val="0038165C"/>
    <w:rsid w:val="003B794C"/>
    <w:rsid w:val="003C7C39"/>
    <w:rsid w:val="00402ACA"/>
    <w:rsid w:val="004249AC"/>
    <w:rsid w:val="00435AF2"/>
    <w:rsid w:val="00450F2E"/>
    <w:rsid w:val="00483886"/>
    <w:rsid w:val="005B5574"/>
    <w:rsid w:val="006C1C9C"/>
    <w:rsid w:val="00750BD9"/>
    <w:rsid w:val="007E4EE0"/>
    <w:rsid w:val="0081019C"/>
    <w:rsid w:val="008262FF"/>
    <w:rsid w:val="00836CDB"/>
    <w:rsid w:val="008A78B5"/>
    <w:rsid w:val="008B166B"/>
    <w:rsid w:val="008C11CB"/>
    <w:rsid w:val="008C469B"/>
    <w:rsid w:val="0091083F"/>
    <w:rsid w:val="00A132A9"/>
    <w:rsid w:val="00A261C6"/>
    <w:rsid w:val="00A46A7B"/>
    <w:rsid w:val="00A7691E"/>
    <w:rsid w:val="00AB7DE3"/>
    <w:rsid w:val="00B56DD2"/>
    <w:rsid w:val="00C60FAC"/>
    <w:rsid w:val="00C651A6"/>
    <w:rsid w:val="00C81305"/>
    <w:rsid w:val="00CB7106"/>
    <w:rsid w:val="00D219E4"/>
    <w:rsid w:val="00D63A2D"/>
    <w:rsid w:val="00D8700C"/>
    <w:rsid w:val="00DA36E8"/>
    <w:rsid w:val="00DF38A3"/>
    <w:rsid w:val="00E26FF8"/>
    <w:rsid w:val="00E36254"/>
    <w:rsid w:val="00E80BA0"/>
    <w:rsid w:val="00EA5690"/>
    <w:rsid w:val="00EE5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7126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semiHidden/>
    <w:unhideWhenUsed/>
    <w:rsid w:val="00D63A2D"/>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semiHidden/>
    <w:rsid w:val="00D63A2D"/>
    <w:rPr>
      <w:rFonts w:eastAsiaTheme="minorHAnsi" w:cstheme="minorBidi"/>
    </w:rPr>
  </w:style>
  <w:style w:type="character" w:styleId="CommentReference">
    <w:name w:val="annotation reference"/>
    <w:basedOn w:val="DefaultParagraphFont"/>
    <w:uiPriority w:val="99"/>
    <w:semiHidden/>
    <w:unhideWhenUsed/>
    <w:rsid w:val="00D63A2D"/>
    <w:rPr>
      <w:sz w:val="16"/>
      <w:szCs w:val="16"/>
    </w:rPr>
  </w:style>
  <w:style w:type="paragraph" w:styleId="ListParagraph">
    <w:name w:val="List Paragraph"/>
    <w:basedOn w:val="Normal"/>
    <w:uiPriority w:val="34"/>
    <w:qFormat/>
    <w:rsid w:val="00D63A2D"/>
    <w:pPr>
      <w:spacing w:after="200" w:line="276" w:lineRule="auto"/>
      <w:ind w:left="720"/>
      <w:contextualSpacing/>
      <w:jc w:val="left"/>
    </w:pPr>
    <w:rPr>
      <w:rFonts w:eastAsiaTheme="minorHAnsi" w:cstheme="minorBidi"/>
      <w:szCs w:val="22"/>
    </w:rPr>
  </w:style>
  <w:style w:type="character" w:styleId="Hyperlink">
    <w:name w:val="Hyperlink"/>
    <w:basedOn w:val="DefaultParagraphFont"/>
    <w:uiPriority w:val="99"/>
    <w:unhideWhenUsed/>
    <w:rsid w:val="00D63A2D"/>
    <w:rPr>
      <w:color w:val="0563C1" w:themeColor="hyperlink"/>
      <w:u w:val="single"/>
    </w:rPr>
  </w:style>
  <w:style w:type="character" w:styleId="UnresolvedMention">
    <w:name w:val="Unresolved Mention"/>
    <w:basedOn w:val="DefaultParagraphFont"/>
    <w:uiPriority w:val="99"/>
    <w:semiHidden/>
    <w:unhideWhenUsed/>
    <w:rsid w:val="008C11C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DF38A3"/>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DF38A3"/>
    <w:rPr>
      <w:rFonts w:eastAsiaTheme="minorHAnsi" w:cstheme="minorBidi"/>
      <w:b/>
      <w:bCs/>
    </w:rPr>
  </w:style>
  <w:style w:type="paragraph" w:styleId="FootnoteText">
    <w:name w:val="footnote text"/>
    <w:basedOn w:val="Normal"/>
    <w:link w:val="FootnoteTextChar"/>
    <w:uiPriority w:val="99"/>
    <w:unhideWhenUsed/>
    <w:rsid w:val="00A132A9"/>
    <w:rPr>
      <w:sz w:val="20"/>
    </w:rPr>
  </w:style>
  <w:style w:type="character" w:customStyle="1" w:styleId="FootnoteTextChar">
    <w:name w:val="Footnote Text Char"/>
    <w:basedOn w:val="DefaultParagraphFont"/>
    <w:link w:val="FootnoteText"/>
    <w:uiPriority w:val="99"/>
    <w:rsid w:val="00A132A9"/>
  </w:style>
  <w:style w:type="character" w:styleId="FootnoteReference">
    <w:name w:val="footnote reference"/>
    <w:basedOn w:val="DefaultParagraphFont"/>
    <w:uiPriority w:val="99"/>
    <w:semiHidden/>
    <w:unhideWhenUsed/>
    <w:rsid w:val="00A132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656104">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www.tceq.texas.gov/assets/public/permitting/watersupply/pdw/chemicals/LabFees.pdf.%20" TargetMode="External"/><Relationship Id="rId4" Type="http://schemas.openxmlformats.org/officeDocument/2006/relationships/settings" Target="settings.xml"/><Relationship Id="rId9" Type="http://schemas.openxmlformats.org/officeDocument/2006/relationships/hyperlink" Target="https://www.tceq.texas.gov/assets/public/permitting/watersupply/pdw/chemicals/LabFe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374F6-CC18-4B66-ACD3-D8B830A9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1222</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2021-01-11T16:32:00Z</dcterms:created>
  <dcterms:modified xsi:type="dcterms:W3CDTF">2021-01-11T18:10:00Z</dcterms:modified>
</cp:coreProperties>
</file>